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keepLines/>
        <w:tabs>
          <w:tab w:val="right" w:pos="10440"/>
          <w:tab w:val="right" w:pos="13323"/>
        </w:tabs>
        <w:rPr>
          <w:rFonts w:hint="default" w:ascii="Arial" w:hAnsi="Arial" w:eastAsia="宋体" w:cs="Arial"/>
          <w:b/>
          <w:sz w:val="24"/>
          <w:szCs w:val="24"/>
          <w:lang w:val="en-US" w:eastAsia="zh-CN"/>
        </w:rPr>
      </w:pPr>
      <w:bookmarkStart w:id="0" w:name="_Hlt449016246"/>
      <w:bookmarkEnd w:id="0"/>
      <w:bookmarkStart w:id="1" w:name="_Hlt450066087"/>
      <w:bookmarkEnd w:id="1"/>
      <w:bookmarkStart w:id="2" w:name="_Hlt450039480"/>
      <w:bookmarkEnd w:id="2"/>
      <w:bookmarkStart w:id="3" w:name="_Hlt450066085"/>
      <w:bookmarkEnd w:id="3"/>
      <w:bookmarkStart w:id="4" w:name="DocumentFor"/>
      <w:bookmarkEnd w:id="4"/>
      <w:bookmarkStart w:id="5" w:name="_Hlt450051172"/>
      <w:bookmarkEnd w:id="5"/>
      <w:bookmarkStart w:id="6" w:name="Title"/>
      <w:bookmarkEnd w:id="6"/>
      <w:bookmarkStart w:id="7" w:name="_Hlt448930105"/>
      <w:bookmarkEnd w:id="7"/>
      <w:bookmarkStart w:id="8" w:name="_Ref465244136"/>
      <w:r>
        <w:rPr>
          <w:rFonts w:ascii="Arial" w:hAnsi="Arial" w:cs="Arial"/>
          <w:b/>
          <w:sz w:val="24"/>
          <w:szCs w:val="24"/>
        </w:rPr>
        <w:t>3GPP TSG-RAN WG4 Meeting #</w:t>
      </w:r>
      <w:r>
        <w:rPr>
          <w:rFonts w:ascii="Arial" w:hAnsi="Arial" w:eastAsia="宋体" w:cs="Arial"/>
          <w:b/>
          <w:sz w:val="24"/>
          <w:szCs w:val="24"/>
          <w:lang w:eastAsia="zh-CN"/>
        </w:rPr>
        <w:t>94-e</w:t>
      </w:r>
      <w:r>
        <w:rPr>
          <w:rFonts w:ascii="Arial" w:hAnsi="Arial" w:cs="Arial"/>
          <w:b/>
          <w:sz w:val="24"/>
          <w:szCs w:val="24"/>
        </w:rPr>
        <w:tab/>
      </w:r>
      <w:r>
        <w:rPr>
          <w:rFonts w:ascii="Arial" w:hAnsi="Arial" w:cs="Arial"/>
          <w:b/>
          <w:sz w:val="24"/>
          <w:szCs w:val="24"/>
        </w:rPr>
        <w:t>R4-20</w:t>
      </w:r>
      <w:r>
        <w:rPr>
          <w:rFonts w:hint="eastAsia" w:cs="Arial"/>
          <w:b/>
          <w:sz w:val="24"/>
          <w:szCs w:val="24"/>
          <w:lang w:val="en-US" w:eastAsia="zh-CN"/>
        </w:rPr>
        <w:t>01250</w:t>
      </w:r>
    </w:p>
    <w:p>
      <w:pPr>
        <w:pStyle w:val="37"/>
        <w:tabs>
          <w:tab w:val="right" w:pos="9781"/>
          <w:tab w:val="right" w:pos="13323"/>
        </w:tabs>
        <w:outlineLvl w:val="0"/>
        <w:rPr>
          <w:rFonts w:hint="eastAsia" w:ascii="Arial" w:hAnsi="Arial" w:eastAsia="宋体"/>
          <w:b/>
          <w:sz w:val="24"/>
          <w:szCs w:val="24"/>
          <w:lang w:eastAsia="zh-CN"/>
        </w:rPr>
      </w:pPr>
      <w:r>
        <w:rPr>
          <w:rFonts w:ascii="Arial" w:hAnsi="Arial" w:eastAsia="宋体"/>
          <w:b/>
          <w:sz w:val="24"/>
          <w:szCs w:val="24"/>
          <w:lang w:eastAsia="zh-CN"/>
        </w:rPr>
        <w:t>Electronic Meeting, 24</w:t>
      </w:r>
      <w:r>
        <w:rPr>
          <w:rFonts w:hint="eastAsia" w:ascii="Arial" w:hAnsi="Arial" w:eastAsia="宋体"/>
          <w:b/>
          <w:sz w:val="24"/>
          <w:szCs w:val="24"/>
          <w:lang w:eastAsia="zh-CN"/>
        </w:rPr>
        <w:t xml:space="preserve"> </w:t>
      </w:r>
      <w:r>
        <w:rPr>
          <w:rFonts w:ascii="Arial" w:hAnsi="Arial" w:eastAsia="宋体"/>
          <w:b/>
          <w:sz w:val="24"/>
          <w:szCs w:val="24"/>
          <w:lang w:eastAsia="zh-CN"/>
        </w:rPr>
        <w:t>Feb. –</w:t>
      </w:r>
      <w:r>
        <w:rPr>
          <w:rFonts w:hint="eastAsia" w:ascii="Arial" w:hAnsi="Arial" w:eastAsia="宋体"/>
          <w:b/>
          <w:sz w:val="24"/>
          <w:szCs w:val="24"/>
          <w:lang w:eastAsia="zh-CN"/>
        </w:rPr>
        <w:t xml:space="preserve"> </w:t>
      </w:r>
      <w:r>
        <w:rPr>
          <w:rFonts w:ascii="Arial" w:hAnsi="Arial" w:eastAsia="宋体"/>
          <w:b/>
          <w:sz w:val="24"/>
          <w:szCs w:val="24"/>
          <w:lang w:eastAsia="zh-CN"/>
        </w:rPr>
        <w:t>6 Mar., 2020</w:t>
      </w:r>
    </w:p>
    <w:p>
      <w:pPr>
        <w:tabs>
          <w:tab w:val="left" w:pos="1985"/>
        </w:tabs>
        <w:rPr>
          <w:rFonts w:hint="default" w:ascii="Arial" w:hAnsi="Arial" w:eastAsia="宋体"/>
          <w:b/>
          <w:sz w:val="24"/>
          <w:szCs w:val="24"/>
          <w:lang w:val="en-US" w:eastAsia="zh-CN"/>
        </w:rPr>
      </w:pPr>
      <w:r>
        <w:rPr>
          <w:rFonts w:ascii="Arial" w:hAnsi="Arial" w:eastAsia="宋体"/>
          <w:b/>
          <w:sz w:val="24"/>
          <w:szCs w:val="24"/>
          <w:lang w:eastAsia="zh-CN"/>
        </w:rPr>
        <w:t>Agenda Item:</w:t>
      </w:r>
      <w:r>
        <w:rPr>
          <w:rFonts w:ascii="Arial" w:hAnsi="Arial" w:eastAsia="宋体"/>
          <w:b/>
          <w:sz w:val="24"/>
          <w:szCs w:val="24"/>
          <w:lang w:eastAsia="zh-CN"/>
        </w:rPr>
        <w:tab/>
      </w:r>
      <w:bookmarkStart w:id="9" w:name="_GoBack"/>
      <w:r>
        <w:rPr>
          <w:rFonts w:hint="eastAsia" w:ascii="Arial" w:hAnsi="Arial"/>
          <w:b/>
          <w:sz w:val="24"/>
          <w:szCs w:val="24"/>
          <w:highlight w:val="none"/>
          <w:lang w:val="en-US" w:eastAsia="zh-CN"/>
        </w:rPr>
        <w:t>6.7.2</w:t>
      </w:r>
      <w:bookmarkEnd w:id="9"/>
    </w:p>
    <w:p>
      <w:pPr>
        <w:tabs>
          <w:tab w:val="left" w:pos="1985"/>
        </w:tabs>
        <w:rPr>
          <w:rFonts w:hint="default" w:ascii="Arial" w:hAnsi="Arial" w:eastAsia="宋体"/>
          <w:sz w:val="24"/>
          <w:szCs w:val="24"/>
          <w:lang w:val="en-US" w:eastAsia="zh-CN"/>
        </w:rPr>
      </w:pPr>
      <w:r>
        <w:rPr>
          <w:rFonts w:ascii="Arial" w:hAnsi="Arial"/>
          <w:b/>
          <w:sz w:val="24"/>
          <w:szCs w:val="24"/>
        </w:rPr>
        <w:t xml:space="preserve">Source: </w:t>
      </w:r>
      <w:r>
        <w:rPr>
          <w:rFonts w:ascii="Arial" w:hAnsi="Arial"/>
          <w:b/>
          <w:sz w:val="24"/>
          <w:szCs w:val="24"/>
        </w:rPr>
        <w:tab/>
      </w:r>
      <w:r>
        <w:rPr>
          <w:rFonts w:hint="eastAsia" w:ascii="Arial" w:hAnsi="Arial"/>
          <w:b/>
          <w:sz w:val="24"/>
          <w:szCs w:val="24"/>
          <w:lang w:val="en-US" w:eastAsia="zh-CN"/>
        </w:rPr>
        <w:t>ZTE</w:t>
      </w:r>
    </w:p>
    <w:p>
      <w:pPr>
        <w:tabs>
          <w:tab w:val="left" w:pos="1985"/>
        </w:tabs>
        <w:rPr>
          <w:rFonts w:hint="default" w:ascii="Arial" w:hAnsi="Arial" w:eastAsia="宋体"/>
          <w:sz w:val="24"/>
          <w:szCs w:val="24"/>
          <w:lang w:val="en-US" w:eastAsia="zh-CN"/>
        </w:rPr>
      </w:pPr>
      <w:r>
        <w:rPr>
          <w:rFonts w:ascii="Arial" w:hAnsi="Arial"/>
          <w:b/>
          <w:sz w:val="24"/>
          <w:szCs w:val="24"/>
        </w:rPr>
        <w:t>Title:</w:t>
      </w:r>
      <w:r>
        <w:rPr>
          <w:rFonts w:ascii="Arial" w:hAnsi="Arial"/>
          <w:sz w:val="24"/>
          <w:szCs w:val="24"/>
        </w:rPr>
        <w:t xml:space="preserve"> </w:t>
      </w:r>
      <w:r>
        <w:rPr>
          <w:rFonts w:ascii="Arial" w:hAnsi="Arial"/>
          <w:sz w:val="24"/>
          <w:szCs w:val="24"/>
        </w:rPr>
        <w:tab/>
      </w:r>
      <w:r>
        <w:rPr>
          <w:rFonts w:hint="eastAsia" w:ascii="Arial" w:hAnsi="Arial"/>
          <w:b/>
          <w:sz w:val="24"/>
          <w:szCs w:val="24"/>
          <w:lang w:val="en-US" w:eastAsia="zh-CN"/>
        </w:rPr>
        <w:t>on the WRC-19 spurious emission for EESS band</w:t>
      </w:r>
    </w:p>
    <w:p>
      <w:pPr>
        <w:tabs>
          <w:tab w:val="left" w:pos="1985"/>
        </w:tabs>
        <w:jc w:val="both"/>
        <w:rPr>
          <w:rFonts w:ascii="Arial" w:hAnsi="Arial" w:cs="Arial"/>
          <w:b/>
          <w:sz w:val="22"/>
          <w:szCs w:val="22"/>
          <w:lang w:eastAsia="zh-CN"/>
        </w:rPr>
      </w:pPr>
      <w:r>
        <w:rPr>
          <w:rFonts w:ascii="Arial" w:hAnsi="Arial"/>
          <w:b/>
          <w:sz w:val="24"/>
          <w:szCs w:val="24"/>
        </w:rPr>
        <w:t>Document for:</w:t>
      </w:r>
      <w:r>
        <w:rPr>
          <w:rFonts w:ascii="Arial" w:hAnsi="Arial"/>
          <w:sz w:val="24"/>
          <w:szCs w:val="24"/>
        </w:rPr>
        <w:tab/>
      </w:r>
      <w:r>
        <w:rPr>
          <w:rFonts w:ascii="Arial" w:hAnsi="Arial"/>
          <w:b/>
          <w:sz w:val="24"/>
          <w:szCs w:val="24"/>
        </w:rPr>
        <w:t>Approval</w:t>
      </w:r>
    </w:p>
    <w:p>
      <w:pPr>
        <w:pStyle w:val="2"/>
      </w:pPr>
      <w:r>
        <w:t>Introduction</w:t>
      </w:r>
      <w:bookmarkEnd w:id="8"/>
    </w:p>
    <w:p>
      <w:pPr>
        <w:bidi w:val="0"/>
        <w:rPr>
          <w:rFonts w:hint="default"/>
          <w:lang w:val="en-US" w:eastAsia="zh-CN"/>
        </w:rPr>
      </w:pPr>
      <w:r>
        <w:rPr>
          <w:rFonts w:hint="eastAsia"/>
          <w:lang w:val="en-US" w:eastAsia="zh-CN"/>
        </w:rPr>
        <w:t>The WRC-19 ended in December has accomplished a large number of conclusions and decisions which needs to be further studied within 3GPP. The spurious emission in EESS band was agreed and captured in the RESOLUTION 750[1]. For the EESS band, the European ECC also has its requirement listed in ECC Decision(18)06 [2]. These requirements are comparably high to the 3GPP current requirement in TS 38.104[3]. Some actions need to be taken within 3GPP to capture the decision in WRC-19.</w:t>
      </w:r>
    </w:p>
    <w:p>
      <w:pPr>
        <w:pStyle w:val="2"/>
        <w:rPr>
          <w:rFonts w:hint="default"/>
          <w:lang w:val="en-US" w:eastAsia="zh-CN"/>
        </w:rPr>
      </w:pPr>
      <w:r>
        <w:rPr>
          <w:lang w:eastAsia="zh-CN"/>
        </w:rPr>
        <w:t>Discussion</w:t>
      </w:r>
    </w:p>
    <w:p>
      <w:pPr>
        <w:pStyle w:val="3"/>
        <w:bidi w:val="0"/>
        <w:rPr>
          <w:rFonts w:hint="eastAsia"/>
          <w:lang w:val="en-US" w:eastAsia="zh-CN"/>
        </w:rPr>
      </w:pPr>
      <w:r>
        <w:rPr>
          <w:rFonts w:hint="eastAsia"/>
          <w:lang w:val="en-US" w:eastAsia="zh-CN"/>
        </w:rPr>
        <w:t>Different emission limit in WRC-19, 3GPP and ECC</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i w:val="0"/>
          <w:iCs w:val="0"/>
          <w:lang w:val="en-US" w:eastAsia="zh-CN"/>
        </w:rPr>
      </w:pPr>
      <w:r>
        <w:rPr>
          <w:rFonts w:hint="eastAsia"/>
          <w:lang w:val="en-US" w:eastAsia="zh-CN"/>
        </w:rPr>
        <w:t xml:space="preserve">During the WRC-19, the </w:t>
      </w:r>
      <w:r>
        <w:rPr>
          <w:rFonts w:hint="default"/>
          <w:lang w:val="en-US" w:eastAsia="zh-CN"/>
        </w:rPr>
        <w:t>“</w:t>
      </w:r>
      <w:r>
        <w:rPr>
          <w:rFonts w:hint="eastAsia"/>
          <w:lang w:val="en-US" w:eastAsia="zh-CN"/>
        </w:rPr>
        <w:t>Compatibility between the Earth exploration-satellite service (passive) and relevant active services</w:t>
      </w:r>
      <w:r>
        <w:rPr>
          <w:rFonts w:hint="default"/>
          <w:lang w:val="en-US" w:eastAsia="zh-CN"/>
        </w:rPr>
        <w:t>”</w:t>
      </w:r>
      <w:r>
        <w:rPr>
          <w:rFonts w:hint="eastAsia"/>
          <w:lang w:val="en-US" w:eastAsia="zh-CN"/>
        </w:rPr>
        <w:t xml:space="preserve"> was discussed and the final conclusion is in [1]</w:t>
      </w:r>
      <w:r>
        <w:rPr>
          <w:rFonts w:hint="eastAsia"/>
          <w:i w:val="0"/>
          <w:iCs w:val="0"/>
          <w:lang w:val="en-US" w:eastAsia="zh-CN"/>
        </w:rPr>
        <w:t>. Here we capture the requirement below in table 1:</w:t>
      </w:r>
    </w:p>
    <w:p>
      <w:pPr>
        <w:keepNext w:val="0"/>
        <w:keepLines w:val="0"/>
        <w:pageBreakBefore w:val="0"/>
        <w:widowControl/>
        <w:kinsoku/>
        <w:wordWrap/>
        <w:overflowPunct/>
        <w:topLinePunct w:val="0"/>
        <w:autoSpaceDE/>
        <w:autoSpaceDN/>
        <w:bidi w:val="0"/>
        <w:adjustRightInd/>
        <w:snapToGrid/>
        <w:spacing w:before="137" w:beforeLines="50"/>
        <w:jc w:val="center"/>
        <w:textAlignment w:val="auto"/>
        <w:outlineLvl w:val="9"/>
        <w:rPr>
          <w:rFonts w:hint="default"/>
          <w:i w:val="0"/>
          <w:iCs w:val="0"/>
          <w:lang w:val="en-US" w:eastAsia="zh-CN"/>
        </w:rPr>
      </w:pPr>
      <w:r>
        <w:rPr>
          <w:rFonts w:hint="eastAsia"/>
          <w:i w:val="0"/>
          <w:iCs w:val="0"/>
          <w:lang w:val="en-US" w:eastAsia="zh-CN"/>
        </w:rPr>
        <w:t>Table 1 WRC-19 requirement for compatibility of EESS passive</w:t>
      </w:r>
    </w:p>
    <w:tbl>
      <w:tblPr>
        <w:tblStyle w:val="132"/>
        <w:tblW w:w="9695" w:type="dxa"/>
        <w:tblInd w:w="-29" w:type="dxa"/>
        <w:tblLayout w:type="fixed"/>
        <w:tblCellMar>
          <w:top w:w="89" w:type="dxa"/>
          <w:left w:w="108" w:type="dxa"/>
          <w:bottom w:w="0" w:type="dxa"/>
          <w:right w:w="60" w:type="dxa"/>
        </w:tblCellMar>
      </w:tblPr>
      <w:tblGrid>
        <w:gridCol w:w="1697"/>
        <w:gridCol w:w="1700"/>
        <w:gridCol w:w="1418"/>
        <w:gridCol w:w="4880"/>
      </w:tblGrid>
      <w:tr>
        <w:tblPrEx>
          <w:tblLayout w:type="fixed"/>
          <w:tblCellMar>
            <w:top w:w="89" w:type="dxa"/>
            <w:left w:w="108" w:type="dxa"/>
            <w:bottom w:w="0" w:type="dxa"/>
            <w:right w:w="60" w:type="dxa"/>
          </w:tblCellMar>
        </w:tblPrEx>
        <w:trPr>
          <w:trHeight w:val="860" w:hRule="atLeast"/>
        </w:trPr>
        <w:tc>
          <w:tcPr>
            <w:tcW w:w="1697" w:type="dxa"/>
            <w:tcBorders>
              <w:top w:val="single" w:color="000000" w:sz="4" w:space="0"/>
              <w:left w:val="single" w:color="000000" w:sz="4" w:space="0"/>
              <w:bottom w:val="single" w:color="000000" w:sz="4" w:space="0"/>
              <w:right w:val="single" w:color="000000" w:sz="4" w:space="0"/>
            </w:tcBorders>
            <w:vAlign w:val="center"/>
          </w:tcPr>
          <w:p>
            <w:pPr>
              <w:spacing w:before="0" w:after="0" w:line="259" w:lineRule="auto"/>
              <w:ind w:left="0" w:firstLine="0"/>
              <w:jc w:val="center"/>
            </w:pPr>
            <w:r>
              <w:rPr>
                <w:rFonts w:ascii="Times New Roman" w:hAnsi="Times New Roman" w:eastAsia="Times New Roman" w:cs="Times New Roman"/>
                <w:b/>
                <w:sz w:val="20"/>
              </w:rPr>
              <w:t xml:space="preserve">EESS (passive) band </w:t>
            </w:r>
          </w:p>
        </w:tc>
        <w:tc>
          <w:tcPr>
            <w:tcW w:w="1700" w:type="dxa"/>
            <w:tcBorders>
              <w:top w:val="single" w:color="000000" w:sz="4" w:space="0"/>
              <w:left w:val="single" w:color="000000" w:sz="4" w:space="0"/>
              <w:bottom w:val="single" w:color="000000" w:sz="4" w:space="0"/>
              <w:right w:val="single" w:color="000000" w:sz="4" w:space="0"/>
            </w:tcBorders>
            <w:vAlign w:val="center"/>
          </w:tcPr>
          <w:p>
            <w:pPr>
              <w:spacing w:before="0" w:after="0" w:line="259" w:lineRule="auto"/>
              <w:ind w:left="176" w:right="174" w:firstLine="0"/>
              <w:jc w:val="center"/>
            </w:pPr>
            <w:r>
              <w:rPr>
                <w:rFonts w:ascii="Times New Roman" w:hAnsi="Times New Roman" w:eastAsia="Times New Roman" w:cs="Times New Roman"/>
                <w:b/>
                <w:sz w:val="20"/>
              </w:rPr>
              <w:t xml:space="preserve">Active service band </w:t>
            </w:r>
          </w:p>
        </w:tc>
        <w:tc>
          <w:tcPr>
            <w:tcW w:w="1418" w:type="dxa"/>
            <w:tcBorders>
              <w:top w:val="single" w:color="000000" w:sz="4" w:space="0"/>
              <w:left w:val="single" w:color="000000" w:sz="4" w:space="0"/>
              <w:bottom w:val="single" w:color="000000" w:sz="4" w:space="0"/>
              <w:right w:val="single" w:color="000000" w:sz="4" w:space="0"/>
            </w:tcBorders>
            <w:vAlign w:val="center"/>
          </w:tcPr>
          <w:p>
            <w:pPr>
              <w:spacing w:before="0" w:after="0" w:line="259" w:lineRule="auto"/>
              <w:ind w:left="10" w:firstLine="0"/>
            </w:pPr>
            <w:r>
              <w:rPr>
                <w:rFonts w:ascii="Times New Roman" w:hAnsi="Times New Roman" w:eastAsia="Times New Roman" w:cs="Times New Roman"/>
                <w:b/>
                <w:sz w:val="20"/>
              </w:rPr>
              <w:t xml:space="preserve">Active service </w:t>
            </w:r>
          </w:p>
        </w:tc>
        <w:tc>
          <w:tcPr>
            <w:tcW w:w="4880" w:type="dxa"/>
            <w:tcBorders>
              <w:top w:val="single" w:color="000000" w:sz="4" w:space="0"/>
              <w:left w:val="single" w:color="000000" w:sz="4" w:space="0"/>
              <w:bottom w:val="single" w:color="000000" w:sz="4" w:space="0"/>
              <w:right w:val="single" w:color="000000" w:sz="4" w:space="0"/>
            </w:tcBorders>
            <w:vAlign w:val="top"/>
          </w:tcPr>
          <w:p>
            <w:pPr>
              <w:spacing w:before="0" w:after="0" w:line="237" w:lineRule="auto"/>
              <w:ind w:left="330" w:right="327" w:firstLine="0"/>
              <w:jc w:val="center"/>
            </w:pPr>
            <w:r>
              <w:rPr>
                <w:rFonts w:ascii="Times New Roman" w:hAnsi="Times New Roman" w:eastAsia="Times New Roman" w:cs="Times New Roman"/>
                <w:b/>
                <w:sz w:val="20"/>
              </w:rPr>
              <w:t xml:space="preserve">Limits of unwanted emission power from active service stations in a specified bandwidth </w:t>
            </w:r>
          </w:p>
          <w:p>
            <w:pPr>
              <w:spacing w:before="0" w:after="0" w:line="259" w:lineRule="auto"/>
              <w:ind w:left="0" w:right="47" w:firstLine="0"/>
              <w:jc w:val="center"/>
            </w:pPr>
            <w:r>
              <w:rPr>
                <w:rFonts w:ascii="Times New Roman" w:hAnsi="Times New Roman" w:eastAsia="Times New Roman" w:cs="Times New Roman"/>
                <w:b/>
                <w:sz w:val="20"/>
              </w:rPr>
              <w:t>within the EESS (passive) band</w:t>
            </w:r>
            <w:r>
              <w:rPr>
                <w:rFonts w:ascii="Times New Roman" w:hAnsi="Times New Roman" w:eastAsia="Times New Roman" w:cs="Times New Roman"/>
                <w:b/>
                <w:sz w:val="20"/>
                <w:vertAlign w:val="superscript"/>
              </w:rPr>
              <w:t>1</w:t>
            </w:r>
            <w:r>
              <w:rPr>
                <w:rFonts w:ascii="Times New Roman" w:hAnsi="Times New Roman" w:eastAsia="Times New Roman" w:cs="Times New Roman"/>
                <w:b/>
                <w:sz w:val="20"/>
              </w:rPr>
              <w:t xml:space="preserve"> </w:t>
            </w:r>
          </w:p>
        </w:tc>
      </w:tr>
      <w:tr>
        <w:tblPrEx>
          <w:tblLayout w:type="fixed"/>
          <w:tblCellMar>
            <w:top w:w="89" w:type="dxa"/>
            <w:left w:w="108" w:type="dxa"/>
            <w:bottom w:w="0" w:type="dxa"/>
            <w:right w:w="60" w:type="dxa"/>
          </w:tblCellMar>
        </w:tblPrEx>
        <w:trPr>
          <w:trHeight w:val="1930" w:hRule="atLeast"/>
        </w:trPr>
        <w:tc>
          <w:tcPr>
            <w:tcW w:w="1697" w:type="dxa"/>
            <w:vMerge w:val="restart"/>
            <w:tcBorders>
              <w:top w:val="single" w:color="000000" w:sz="4" w:space="0"/>
              <w:left w:val="single" w:color="000000" w:sz="4" w:space="0"/>
              <w:bottom w:val="single" w:color="000000" w:sz="4" w:space="0"/>
              <w:right w:val="single" w:color="000000" w:sz="4" w:space="0"/>
            </w:tcBorders>
            <w:vAlign w:val="center"/>
          </w:tcPr>
          <w:p>
            <w:pPr>
              <w:spacing w:before="0" w:after="0" w:line="259" w:lineRule="auto"/>
              <w:ind w:left="0" w:right="50" w:firstLine="0"/>
              <w:jc w:val="center"/>
            </w:pPr>
            <w:r>
              <w:rPr>
                <w:sz w:val="20"/>
              </w:rPr>
              <w:t xml:space="preserve">23.6-24.0 GHz </w:t>
            </w:r>
          </w:p>
        </w:tc>
        <w:tc>
          <w:tcPr>
            <w:tcW w:w="1700" w:type="dxa"/>
            <w:tcBorders>
              <w:top w:val="single" w:color="000000" w:sz="4" w:space="0"/>
              <w:left w:val="single" w:color="000000" w:sz="4" w:space="0"/>
              <w:bottom w:val="single" w:color="000000" w:sz="4" w:space="0"/>
              <w:right w:val="single" w:color="000000" w:sz="4" w:space="0"/>
            </w:tcBorders>
            <w:vAlign w:val="center"/>
          </w:tcPr>
          <w:p>
            <w:pPr>
              <w:spacing w:before="0" w:after="0" w:line="259" w:lineRule="auto"/>
              <w:ind w:left="46" w:firstLine="0"/>
            </w:pPr>
            <w:r>
              <w:rPr>
                <w:sz w:val="20"/>
              </w:rPr>
              <w:t xml:space="preserve">22.55-23.55 GHz </w:t>
            </w:r>
          </w:p>
        </w:tc>
        <w:tc>
          <w:tcPr>
            <w:tcW w:w="1418" w:type="dxa"/>
            <w:tcBorders>
              <w:top w:val="single" w:color="000000" w:sz="4" w:space="0"/>
              <w:left w:val="single" w:color="000000" w:sz="4" w:space="0"/>
              <w:bottom w:val="single" w:color="000000" w:sz="4" w:space="0"/>
              <w:right w:val="single" w:color="000000" w:sz="4" w:space="0"/>
            </w:tcBorders>
            <w:vAlign w:val="center"/>
          </w:tcPr>
          <w:p>
            <w:pPr>
              <w:spacing w:before="0" w:after="0" w:line="259" w:lineRule="auto"/>
              <w:ind w:left="0" w:right="47" w:firstLine="0"/>
              <w:jc w:val="center"/>
            </w:pPr>
            <w:r>
              <w:rPr>
                <w:sz w:val="20"/>
              </w:rPr>
              <w:t xml:space="preserve">Inter-satellite </w:t>
            </w:r>
          </w:p>
        </w:tc>
        <w:tc>
          <w:tcPr>
            <w:tcW w:w="4880" w:type="dxa"/>
            <w:tcBorders>
              <w:top w:val="single" w:color="000000" w:sz="4" w:space="0"/>
              <w:left w:val="single" w:color="000000" w:sz="4" w:space="0"/>
              <w:bottom w:val="single" w:color="000000" w:sz="4" w:space="0"/>
              <w:right w:val="single" w:color="000000" w:sz="4" w:space="0"/>
            </w:tcBorders>
            <w:vAlign w:val="top"/>
          </w:tcPr>
          <w:p>
            <w:pPr>
              <w:spacing w:before="0" w:after="0" w:line="238" w:lineRule="auto"/>
              <w:ind w:left="0" w:firstLine="0"/>
            </w:pPr>
            <w:r>
              <w:rPr>
                <w:sz w:val="20"/>
              </w:rPr>
              <w:t xml:space="preserve">−36 dBW in any 200 MHz of the EESS (passive) band for non-geostationary (non-GSO) inter-satellite service (ISS) systems for which complete advance publication information is received by the Bureau before </w:t>
            </w:r>
          </w:p>
          <w:p>
            <w:pPr>
              <w:spacing w:before="0" w:after="0" w:line="259" w:lineRule="auto"/>
              <w:ind w:left="0" w:firstLine="0"/>
            </w:pPr>
            <w:r>
              <w:rPr>
                <w:sz w:val="20"/>
              </w:rPr>
              <w:t xml:space="preserve">1 January 2020, and −46 dBW in any 200 MHz of the EESS (passive) band for non-GSO ISS systems for which complete advance publication information is received by the Bureau on or after 1 January 2020 </w:t>
            </w:r>
          </w:p>
        </w:tc>
      </w:tr>
      <w:tr>
        <w:tblPrEx>
          <w:tblLayout w:type="fixed"/>
          <w:tblCellMar>
            <w:top w:w="89" w:type="dxa"/>
            <w:left w:w="108" w:type="dxa"/>
            <w:bottom w:w="0" w:type="dxa"/>
            <w:right w:w="60" w:type="dxa"/>
          </w:tblCellMar>
        </w:tblPrEx>
        <w:trPr>
          <w:trHeight w:val="1050" w:hRule="atLeast"/>
        </w:trPr>
        <w:tc>
          <w:tcPr>
            <w:tcW w:w="1697" w:type="dxa"/>
            <w:vMerge w:val="continue"/>
            <w:tcBorders>
              <w:top w:val="nil"/>
              <w:left w:val="single" w:color="000000" w:sz="4" w:space="0"/>
              <w:bottom w:val="single" w:color="000000" w:sz="4" w:space="0"/>
              <w:right w:val="single" w:color="000000" w:sz="4" w:space="0"/>
            </w:tcBorders>
            <w:vAlign w:val="top"/>
          </w:tcPr>
          <w:p>
            <w:pPr>
              <w:bidi w:val="0"/>
              <w:spacing w:before="0" w:after="160" w:line="259" w:lineRule="auto"/>
              <w:ind w:left="0" w:right="0" w:firstLine="0"/>
              <w:jc w:val="left"/>
            </w:pPr>
          </w:p>
        </w:tc>
        <w:tc>
          <w:tcPr>
            <w:tcW w:w="1700" w:type="dxa"/>
            <w:tcBorders>
              <w:top w:val="single" w:color="000000" w:sz="4" w:space="0"/>
              <w:left w:val="single" w:color="000000" w:sz="4" w:space="0"/>
              <w:bottom w:val="single" w:color="000000" w:sz="4" w:space="0"/>
              <w:right w:val="single" w:color="000000" w:sz="4" w:space="0"/>
            </w:tcBorders>
            <w:vAlign w:val="center"/>
          </w:tcPr>
          <w:p>
            <w:pPr>
              <w:spacing w:before="0" w:after="0" w:line="259" w:lineRule="auto"/>
              <w:ind w:left="0" w:right="49" w:firstLine="0"/>
              <w:jc w:val="center"/>
              <w:rPr>
                <w:highlight w:val="yellow"/>
              </w:rPr>
            </w:pPr>
            <w:r>
              <w:rPr>
                <w:sz w:val="20"/>
                <w:highlight w:val="yellow"/>
              </w:rPr>
              <w:t xml:space="preserve">24.25-27.5 GHz </w:t>
            </w:r>
          </w:p>
        </w:tc>
        <w:tc>
          <w:tcPr>
            <w:tcW w:w="1418" w:type="dxa"/>
            <w:tcBorders>
              <w:top w:val="single" w:color="000000" w:sz="4" w:space="0"/>
              <w:left w:val="single" w:color="000000" w:sz="4" w:space="0"/>
              <w:bottom w:val="single" w:color="000000" w:sz="4" w:space="0"/>
              <w:right w:val="single" w:color="000000" w:sz="4" w:space="0"/>
            </w:tcBorders>
            <w:vAlign w:val="center"/>
          </w:tcPr>
          <w:p>
            <w:pPr>
              <w:spacing w:before="0" w:after="0" w:line="259" w:lineRule="auto"/>
              <w:ind w:left="0" w:right="50" w:firstLine="0"/>
              <w:jc w:val="center"/>
              <w:rPr>
                <w:highlight w:val="yellow"/>
              </w:rPr>
            </w:pPr>
            <w:r>
              <w:rPr>
                <w:sz w:val="20"/>
                <w:highlight w:val="yellow"/>
              </w:rPr>
              <w:t xml:space="preserve">Mobile </w:t>
            </w:r>
          </w:p>
        </w:tc>
        <w:tc>
          <w:tcPr>
            <w:tcW w:w="4880" w:type="dxa"/>
            <w:tcBorders>
              <w:top w:val="single" w:color="000000" w:sz="4" w:space="0"/>
              <w:left w:val="single" w:color="000000" w:sz="4" w:space="0"/>
              <w:bottom w:val="single" w:color="000000" w:sz="4" w:space="0"/>
              <w:right w:val="single" w:color="000000" w:sz="4" w:space="0"/>
            </w:tcBorders>
            <w:vAlign w:val="top"/>
          </w:tcPr>
          <w:p>
            <w:pPr>
              <w:spacing w:before="0" w:after="102" w:line="229" w:lineRule="auto"/>
              <w:ind w:left="0" w:firstLine="0"/>
              <w:rPr>
                <w:highlight w:val="yellow"/>
              </w:rPr>
            </w:pPr>
            <w:r>
              <w:rPr>
                <w:sz w:val="20"/>
                <w:highlight w:val="yellow"/>
              </w:rPr>
              <w:t>−33 dBW</w:t>
            </w:r>
            <w:r>
              <w:rPr>
                <w:sz w:val="20"/>
                <w:highlight w:val="yellow"/>
                <w:vertAlign w:val="superscript"/>
              </w:rPr>
              <w:t>a</w:t>
            </w:r>
            <w:r>
              <w:rPr>
                <w:sz w:val="20"/>
                <w:highlight w:val="yellow"/>
              </w:rPr>
              <w:t xml:space="preserve"> in any 200 MHz of the EESS (passive) band for IMT base stations</w:t>
            </w:r>
            <w:r>
              <w:rPr>
                <w:sz w:val="20"/>
                <w:highlight w:val="yellow"/>
                <w:vertAlign w:val="superscript"/>
              </w:rPr>
              <w:t xml:space="preserve">5 </w:t>
            </w:r>
          </w:p>
          <w:p>
            <w:pPr>
              <w:spacing w:before="0" w:after="0" w:line="259" w:lineRule="auto"/>
              <w:ind w:left="0" w:firstLine="0"/>
              <w:rPr>
                <w:highlight w:val="yellow"/>
              </w:rPr>
            </w:pPr>
            <w:r>
              <w:rPr>
                <w:sz w:val="20"/>
                <w:highlight w:val="yellow"/>
              </w:rPr>
              <w:t>−29 dBW</w:t>
            </w:r>
            <w:r>
              <w:rPr>
                <w:sz w:val="20"/>
                <w:highlight w:val="yellow"/>
                <w:vertAlign w:val="superscript"/>
              </w:rPr>
              <w:t>b</w:t>
            </w:r>
            <w:r>
              <w:rPr>
                <w:sz w:val="20"/>
                <w:highlight w:val="yellow"/>
              </w:rPr>
              <w:t xml:space="preserve"> in any 200 MHz of the EESS (passive) band for IMT mobile stations</w:t>
            </w:r>
            <w:r>
              <w:rPr>
                <w:sz w:val="20"/>
                <w:highlight w:val="yellow"/>
                <w:vertAlign w:val="superscript"/>
              </w:rPr>
              <w:t>5</w:t>
            </w:r>
            <w:r>
              <w:rPr>
                <w:sz w:val="20"/>
                <w:highlight w:val="yellow"/>
              </w:rPr>
              <w:t xml:space="preserve"> </w:t>
            </w:r>
          </w:p>
        </w:tc>
      </w:tr>
    </w:tbl>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i w:val="0"/>
          <w:iCs w:val="0"/>
          <w:lang w:val="en-US" w:eastAsia="zh-CN"/>
        </w:rPr>
      </w:pPr>
      <w:r>
        <w:rPr>
          <w:rFonts w:hint="eastAsia"/>
          <w:i w:val="0"/>
          <w:iCs w:val="0"/>
          <w:lang w:val="en-US" w:eastAsia="zh-CN"/>
        </w:rPr>
        <w:t>From table 1 we know this is specifically for band n258 requirement. The upper mark of 5 in table 1 indicates as:</w:t>
      </w:r>
    </w:p>
    <w:p>
      <w:pPr>
        <w:tabs>
          <w:tab w:val="center" w:pos="4655"/>
        </w:tabs>
        <w:spacing w:before="0" w:after="12" w:line="248" w:lineRule="auto"/>
        <w:ind w:left="0" w:firstLine="0"/>
      </w:pPr>
      <w:r>
        <w:rPr>
          <w:sz w:val="20"/>
          <w:vertAlign w:val="superscript"/>
        </w:rPr>
        <w:t>a</w:t>
      </w:r>
      <w:r>
        <w:rPr>
          <w:sz w:val="20"/>
        </w:rPr>
        <w:t xml:space="preserve"> </w:t>
      </w:r>
      <w:r>
        <w:rPr>
          <w:sz w:val="20"/>
        </w:rPr>
        <w:tab/>
      </w:r>
      <w:r>
        <w:rPr>
          <w:sz w:val="20"/>
        </w:rPr>
        <w:t xml:space="preserve">A limit of −39 dB(W/200 MHz) will apply to IMT base stations brought into use after </w:t>
      </w:r>
    </w:p>
    <w:p>
      <w:pPr>
        <w:spacing w:before="0" w:after="119" w:line="248" w:lineRule="auto"/>
        <w:ind w:left="89" w:right="9"/>
      </w:pPr>
      <w:r>
        <w:rPr>
          <w:sz w:val="20"/>
        </w:rPr>
        <w:t xml:space="preserve">1 September 2027. This limit will not apply to IMT base stations which have been brought into use prior to this date. For those IMT base stations, the limit of −33 dB(W/200 MHz) will continue to apply after this date. </w:t>
      </w:r>
    </w:p>
    <w:p>
      <w:pPr>
        <w:tabs>
          <w:tab w:val="center" w:pos="4756"/>
        </w:tabs>
        <w:spacing w:before="0" w:after="12" w:line="248" w:lineRule="auto"/>
        <w:ind w:left="0" w:firstLine="0"/>
      </w:pPr>
      <w:r>
        <w:rPr>
          <w:sz w:val="20"/>
          <w:vertAlign w:val="superscript"/>
        </w:rPr>
        <w:t>b</w:t>
      </w:r>
      <w:r>
        <w:rPr>
          <w:sz w:val="20"/>
        </w:rPr>
        <w:t xml:space="preserve"> </w:t>
      </w:r>
      <w:r>
        <w:rPr>
          <w:sz w:val="20"/>
        </w:rPr>
        <w:tab/>
      </w:r>
      <w:r>
        <w:rPr>
          <w:sz w:val="20"/>
        </w:rPr>
        <w:t xml:space="preserve">A limit of −35 dB(W/200 MHz) will apply to IMT mobile stations brought into use after </w:t>
      </w:r>
    </w:p>
    <w:p>
      <w:pPr>
        <w:spacing w:before="0" w:after="96" w:line="248" w:lineRule="auto"/>
        <w:ind w:left="89" w:right="9"/>
      </w:pPr>
      <w:r>
        <w:rPr>
          <w:sz w:val="20"/>
        </w:rPr>
        <w:t xml:space="preserve">1 September 2027. This limit will not apply to IMT mobile stations which have been brought into use prior to this date. For those IMT mobile stations, the limit of −29 dB(W/200 MHz) will continue to apply after this date. </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i w:val="0"/>
          <w:iCs w:val="0"/>
          <w:lang w:val="en-US" w:eastAsia="zh-CN"/>
        </w:rPr>
      </w:pPr>
      <w:r>
        <w:rPr>
          <w:rFonts w:hint="eastAsia"/>
          <w:i w:val="0"/>
          <w:iCs w:val="0"/>
          <w:lang w:val="en-US" w:eastAsia="zh-CN"/>
        </w:rPr>
        <w:t>In other words, 6dB more stringent requirement will be applied after the year of 2027.</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i w:val="0"/>
          <w:iCs w:val="0"/>
          <w:lang w:val="en-US" w:eastAsia="zh-CN"/>
        </w:rPr>
      </w:pPr>
      <w:r>
        <w:rPr>
          <w:rFonts w:hint="eastAsia"/>
          <w:i w:val="0"/>
          <w:iCs w:val="0"/>
          <w:lang w:val="en-US" w:eastAsia="zh-CN"/>
        </w:rPr>
        <w:t>The requirement within table 1 is measured in 200MHz and it can be transferred to requirement measured in 1MHz as shown in table 2 below. Also the dBW has been transferred to dBm.</w:t>
      </w:r>
    </w:p>
    <w:p>
      <w:pPr>
        <w:keepNext w:val="0"/>
        <w:keepLines w:val="0"/>
        <w:pageBreakBefore w:val="0"/>
        <w:widowControl/>
        <w:kinsoku/>
        <w:wordWrap/>
        <w:overflowPunct/>
        <w:topLinePunct w:val="0"/>
        <w:autoSpaceDE/>
        <w:autoSpaceDN/>
        <w:bidi w:val="0"/>
        <w:adjustRightInd/>
        <w:snapToGrid/>
        <w:spacing w:before="137" w:beforeLines="50"/>
        <w:jc w:val="center"/>
        <w:textAlignment w:val="auto"/>
        <w:outlineLvl w:val="9"/>
        <w:rPr>
          <w:rFonts w:hint="default"/>
          <w:i w:val="0"/>
          <w:iCs w:val="0"/>
          <w:lang w:val="en-US" w:eastAsia="zh-CN"/>
        </w:rPr>
      </w:pPr>
      <w:r>
        <w:rPr>
          <w:rFonts w:hint="eastAsia"/>
          <w:i w:val="0"/>
          <w:iCs w:val="0"/>
          <w:lang w:val="en-US" w:eastAsia="zh-CN"/>
        </w:rPr>
        <w:t>Talbe 2 WRC-19 requirement in different description</w:t>
      </w:r>
    </w:p>
    <w:tbl>
      <w:tblPr>
        <w:tblStyle w:val="53"/>
        <w:tblW w:w="85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4"/>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4" w:type="dxa"/>
          </w:tcPr>
          <w:p>
            <w:pPr>
              <w:bidi w:val="0"/>
              <w:jc w:val="center"/>
              <w:rPr>
                <w:rFonts w:hint="eastAsia"/>
                <w:vertAlign w:val="baseline"/>
                <w:lang w:val="en-US" w:eastAsia="zh-CN"/>
              </w:rPr>
            </w:pPr>
          </w:p>
        </w:tc>
        <w:tc>
          <w:tcPr>
            <w:tcW w:w="1704" w:type="dxa"/>
          </w:tcPr>
          <w:p>
            <w:pPr>
              <w:bidi w:val="0"/>
              <w:jc w:val="center"/>
              <w:rPr>
                <w:rFonts w:hint="default"/>
                <w:vertAlign w:val="baseline"/>
                <w:lang w:val="en-US" w:eastAsia="zh-CN"/>
              </w:rPr>
            </w:pPr>
            <w:r>
              <w:rPr>
                <w:rFonts w:hint="eastAsia"/>
                <w:vertAlign w:val="baseline"/>
                <w:lang w:val="en-US" w:eastAsia="zh-CN"/>
              </w:rPr>
              <w:t>BS before 2027</w:t>
            </w:r>
          </w:p>
        </w:tc>
        <w:tc>
          <w:tcPr>
            <w:tcW w:w="1704" w:type="dxa"/>
          </w:tcPr>
          <w:p>
            <w:pPr>
              <w:bidi w:val="0"/>
              <w:jc w:val="center"/>
              <w:rPr>
                <w:rFonts w:hint="default"/>
                <w:vertAlign w:val="baseline"/>
                <w:lang w:val="en-US" w:eastAsia="zh-CN"/>
              </w:rPr>
            </w:pPr>
            <w:r>
              <w:rPr>
                <w:rFonts w:hint="eastAsia"/>
                <w:vertAlign w:val="baseline"/>
                <w:lang w:val="en-US" w:eastAsia="zh-CN"/>
              </w:rPr>
              <w:t>UE before 2027</w:t>
            </w:r>
          </w:p>
        </w:tc>
        <w:tc>
          <w:tcPr>
            <w:tcW w:w="1704" w:type="dxa"/>
          </w:tcPr>
          <w:p>
            <w:pPr>
              <w:bidi w:val="0"/>
              <w:jc w:val="center"/>
              <w:rPr>
                <w:rFonts w:hint="default"/>
                <w:vertAlign w:val="baseline"/>
                <w:lang w:val="en-US" w:eastAsia="zh-CN"/>
              </w:rPr>
            </w:pPr>
            <w:r>
              <w:rPr>
                <w:rFonts w:hint="eastAsia"/>
                <w:vertAlign w:val="baseline"/>
                <w:lang w:val="en-US" w:eastAsia="zh-CN"/>
              </w:rPr>
              <w:t>BS after 2027</w:t>
            </w:r>
          </w:p>
        </w:tc>
        <w:tc>
          <w:tcPr>
            <w:tcW w:w="1704" w:type="dxa"/>
          </w:tcPr>
          <w:p>
            <w:pPr>
              <w:bidi w:val="0"/>
              <w:jc w:val="center"/>
              <w:rPr>
                <w:rFonts w:hint="default"/>
                <w:vertAlign w:val="baseline"/>
                <w:lang w:val="en-US" w:eastAsia="zh-CN"/>
              </w:rPr>
            </w:pPr>
            <w:r>
              <w:rPr>
                <w:rFonts w:hint="eastAsia"/>
                <w:vertAlign w:val="baseline"/>
                <w:lang w:val="en-US" w:eastAsia="zh-CN"/>
              </w:rPr>
              <w:t>UE after 2027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4" w:type="dxa"/>
          </w:tcPr>
          <w:p>
            <w:pPr>
              <w:bidi w:val="0"/>
              <w:jc w:val="center"/>
              <w:rPr>
                <w:rFonts w:hint="default"/>
                <w:vertAlign w:val="baseline"/>
                <w:lang w:val="en-US" w:eastAsia="zh-CN"/>
              </w:rPr>
            </w:pPr>
            <w:r>
              <w:rPr>
                <w:rFonts w:hint="eastAsia"/>
                <w:vertAlign w:val="baseline"/>
                <w:lang w:val="en-US" w:eastAsia="zh-CN"/>
              </w:rPr>
              <w:t>dBW/200MHz</w:t>
            </w:r>
          </w:p>
        </w:tc>
        <w:tc>
          <w:tcPr>
            <w:tcW w:w="1704" w:type="dxa"/>
          </w:tcPr>
          <w:p>
            <w:pPr>
              <w:bidi w:val="0"/>
              <w:jc w:val="center"/>
              <w:rPr>
                <w:rFonts w:hint="default"/>
                <w:vertAlign w:val="baseline"/>
                <w:lang w:val="en-US" w:eastAsia="zh-CN"/>
              </w:rPr>
            </w:pPr>
            <w:r>
              <w:rPr>
                <w:rFonts w:hint="eastAsia"/>
                <w:vertAlign w:val="baseline"/>
                <w:lang w:val="en-US" w:eastAsia="zh-CN"/>
              </w:rPr>
              <w:t xml:space="preserve">-33 </w:t>
            </w:r>
          </w:p>
        </w:tc>
        <w:tc>
          <w:tcPr>
            <w:tcW w:w="1704" w:type="dxa"/>
          </w:tcPr>
          <w:p>
            <w:pPr>
              <w:bidi w:val="0"/>
              <w:jc w:val="center"/>
              <w:rPr>
                <w:rFonts w:hint="default"/>
                <w:vertAlign w:val="baseline"/>
                <w:lang w:val="en-US" w:eastAsia="zh-CN"/>
              </w:rPr>
            </w:pPr>
            <w:r>
              <w:rPr>
                <w:rFonts w:hint="eastAsia"/>
                <w:vertAlign w:val="baseline"/>
                <w:lang w:val="en-US" w:eastAsia="zh-CN"/>
              </w:rPr>
              <w:t xml:space="preserve">-29 </w:t>
            </w:r>
          </w:p>
        </w:tc>
        <w:tc>
          <w:tcPr>
            <w:tcW w:w="1704" w:type="dxa"/>
          </w:tcPr>
          <w:p>
            <w:pPr>
              <w:bidi w:val="0"/>
              <w:jc w:val="center"/>
              <w:rPr>
                <w:rFonts w:hint="default"/>
                <w:vertAlign w:val="baseline"/>
                <w:lang w:val="en-US" w:eastAsia="zh-CN"/>
              </w:rPr>
            </w:pPr>
            <w:r>
              <w:rPr>
                <w:rFonts w:hint="eastAsia"/>
                <w:vertAlign w:val="baseline"/>
                <w:lang w:val="en-US" w:eastAsia="zh-CN"/>
              </w:rPr>
              <w:t xml:space="preserve">-39 </w:t>
            </w:r>
          </w:p>
        </w:tc>
        <w:tc>
          <w:tcPr>
            <w:tcW w:w="1704" w:type="dxa"/>
          </w:tcPr>
          <w:p>
            <w:pPr>
              <w:bidi w:val="0"/>
              <w:jc w:val="center"/>
              <w:rPr>
                <w:rFonts w:hint="default"/>
                <w:vertAlign w:val="baseline"/>
                <w:lang w:val="en-US" w:eastAsia="zh-CN"/>
              </w:rPr>
            </w:pPr>
            <w:r>
              <w:rPr>
                <w:rFonts w:hint="eastAsia"/>
                <w:vertAlign w:val="baseline"/>
                <w:lang w:val="en-US"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4" w:type="dxa"/>
            <w:vAlign w:val="top"/>
          </w:tcPr>
          <w:p>
            <w:pPr>
              <w:bidi w:val="0"/>
              <w:jc w:val="center"/>
              <w:rPr>
                <w:rFonts w:hint="eastAsia"/>
                <w:vertAlign w:val="baseline"/>
                <w:lang w:val="en-US" w:eastAsia="zh-CN"/>
              </w:rPr>
            </w:pPr>
            <w:r>
              <w:rPr>
                <w:rFonts w:hint="eastAsia"/>
                <w:vertAlign w:val="baseline"/>
                <w:lang w:val="en-US" w:eastAsia="zh-CN"/>
              </w:rPr>
              <w:t>dBm/200MHz</w:t>
            </w:r>
          </w:p>
        </w:tc>
        <w:tc>
          <w:tcPr>
            <w:tcW w:w="1704" w:type="dxa"/>
            <w:vAlign w:val="top"/>
          </w:tcPr>
          <w:p>
            <w:pPr>
              <w:bidi w:val="0"/>
              <w:jc w:val="center"/>
              <w:rPr>
                <w:rFonts w:hint="eastAsia"/>
                <w:vertAlign w:val="baseline"/>
                <w:lang w:val="en-US" w:eastAsia="zh-CN"/>
              </w:rPr>
            </w:pPr>
            <w:r>
              <w:rPr>
                <w:rFonts w:hint="eastAsia"/>
                <w:vertAlign w:val="baseline"/>
                <w:lang w:val="en-US" w:eastAsia="zh-CN"/>
              </w:rPr>
              <w:t xml:space="preserve">-3 </w:t>
            </w:r>
          </w:p>
        </w:tc>
        <w:tc>
          <w:tcPr>
            <w:tcW w:w="1704" w:type="dxa"/>
            <w:vAlign w:val="top"/>
          </w:tcPr>
          <w:p>
            <w:pPr>
              <w:bidi w:val="0"/>
              <w:jc w:val="center"/>
              <w:rPr>
                <w:rFonts w:hint="eastAsia"/>
                <w:vertAlign w:val="baseline"/>
                <w:lang w:val="en-US" w:eastAsia="zh-CN"/>
              </w:rPr>
            </w:pPr>
            <w:r>
              <w:rPr>
                <w:rFonts w:hint="eastAsia"/>
                <w:vertAlign w:val="baseline"/>
                <w:lang w:val="en-US" w:eastAsia="zh-CN"/>
              </w:rPr>
              <w:t>1</w:t>
            </w:r>
          </w:p>
        </w:tc>
        <w:tc>
          <w:tcPr>
            <w:tcW w:w="1704" w:type="dxa"/>
            <w:vAlign w:val="top"/>
          </w:tcPr>
          <w:p>
            <w:pPr>
              <w:bidi w:val="0"/>
              <w:jc w:val="center"/>
              <w:rPr>
                <w:rFonts w:hint="eastAsia"/>
                <w:vertAlign w:val="baseline"/>
                <w:lang w:val="en-US" w:eastAsia="zh-CN"/>
              </w:rPr>
            </w:pPr>
            <w:r>
              <w:rPr>
                <w:rFonts w:hint="eastAsia"/>
                <w:vertAlign w:val="baseline"/>
                <w:lang w:val="en-US" w:eastAsia="zh-CN"/>
              </w:rPr>
              <w:t xml:space="preserve">-9 </w:t>
            </w:r>
          </w:p>
        </w:tc>
        <w:tc>
          <w:tcPr>
            <w:tcW w:w="1704" w:type="dxa"/>
            <w:vAlign w:val="top"/>
          </w:tcPr>
          <w:p>
            <w:pPr>
              <w:bidi w:val="0"/>
              <w:jc w:val="center"/>
              <w:rPr>
                <w:rFonts w:hint="eastAsia"/>
                <w:vertAlign w:val="baseline"/>
                <w:lang w:val="en-US" w:eastAsia="zh-CN"/>
              </w:rPr>
            </w:pPr>
            <w:r>
              <w:rPr>
                <w:rFonts w:hint="eastAsia"/>
                <w:vertAlign w:val="baseline"/>
                <w:lang w:val="en-US" w:eastAsia="zh-CN"/>
              </w:rPr>
              <w:t xml:space="preserve">-5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4" w:type="dxa"/>
          </w:tcPr>
          <w:p>
            <w:pPr>
              <w:bidi w:val="0"/>
              <w:jc w:val="center"/>
              <w:rPr>
                <w:rFonts w:hint="eastAsia"/>
                <w:vertAlign w:val="baseline"/>
                <w:lang w:val="en-US" w:eastAsia="zh-CN"/>
              </w:rPr>
            </w:pPr>
            <w:r>
              <w:rPr>
                <w:rFonts w:hint="eastAsia"/>
                <w:vertAlign w:val="baseline"/>
                <w:lang w:val="en-US" w:eastAsia="zh-CN"/>
              </w:rPr>
              <w:t>dBm/MHz</w:t>
            </w:r>
          </w:p>
        </w:tc>
        <w:tc>
          <w:tcPr>
            <w:tcW w:w="1704" w:type="dxa"/>
          </w:tcPr>
          <w:p>
            <w:pPr>
              <w:bidi w:val="0"/>
              <w:jc w:val="center"/>
              <w:rPr>
                <w:rFonts w:hint="default"/>
                <w:vertAlign w:val="baseline"/>
                <w:lang w:val="en-US" w:eastAsia="zh-CN"/>
              </w:rPr>
            </w:pPr>
            <w:r>
              <w:rPr>
                <w:rFonts w:hint="eastAsia"/>
                <w:vertAlign w:val="baseline"/>
                <w:lang w:val="en-US" w:eastAsia="zh-CN"/>
              </w:rPr>
              <w:t xml:space="preserve">-26 </w:t>
            </w:r>
          </w:p>
        </w:tc>
        <w:tc>
          <w:tcPr>
            <w:tcW w:w="1704" w:type="dxa"/>
          </w:tcPr>
          <w:p>
            <w:pPr>
              <w:bidi w:val="0"/>
              <w:jc w:val="center"/>
              <w:rPr>
                <w:rFonts w:hint="default"/>
                <w:vertAlign w:val="baseline"/>
                <w:lang w:val="en-US" w:eastAsia="zh-CN"/>
              </w:rPr>
            </w:pPr>
            <w:r>
              <w:rPr>
                <w:rFonts w:hint="eastAsia"/>
                <w:vertAlign w:val="baseline"/>
                <w:lang w:val="en-US" w:eastAsia="zh-CN"/>
              </w:rPr>
              <w:t xml:space="preserve">-22 </w:t>
            </w:r>
          </w:p>
        </w:tc>
        <w:tc>
          <w:tcPr>
            <w:tcW w:w="1704" w:type="dxa"/>
          </w:tcPr>
          <w:p>
            <w:pPr>
              <w:bidi w:val="0"/>
              <w:jc w:val="center"/>
              <w:rPr>
                <w:rFonts w:hint="default"/>
                <w:vertAlign w:val="baseline"/>
                <w:lang w:val="en-US" w:eastAsia="zh-CN"/>
              </w:rPr>
            </w:pPr>
            <w:r>
              <w:rPr>
                <w:rFonts w:hint="eastAsia"/>
                <w:vertAlign w:val="baseline"/>
                <w:lang w:val="en-US" w:eastAsia="zh-CN"/>
              </w:rPr>
              <w:t>-32</w:t>
            </w:r>
          </w:p>
        </w:tc>
        <w:tc>
          <w:tcPr>
            <w:tcW w:w="1704" w:type="dxa"/>
          </w:tcPr>
          <w:p>
            <w:pPr>
              <w:bidi w:val="0"/>
              <w:jc w:val="center"/>
              <w:rPr>
                <w:rFonts w:hint="default"/>
                <w:vertAlign w:val="baseline"/>
                <w:lang w:val="en-US" w:eastAsia="zh-CN"/>
              </w:rPr>
            </w:pPr>
            <w:r>
              <w:rPr>
                <w:rFonts w:hint="eastAsia"/>
                <w:vertAlign w:val="baseline"/>
                <w:lang w:val="en-US" w:eastAsia="zh-CN"/>
              </w:rPr>
              <w:t xml:space="preserve">-28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4" w:type="dxa"/>
          </w:tcPr>
          <w:p>
            <w:pPr>
              <w:bidi w:val="0"/>
              <w:jc w:val="center"/>
              <w:rPr>
                <w:rFonts w:hint="eastAsia"/>
                <w:vertAlign w:val="baseline"/>
                <w:lang w:val="en-US" w:eastAsia="zh-CN"/>
              </w:rPr>
            </w:pPr>
            <w:r>
              <w:rPr>
                <w:rFonts w:hint="eastAsia"/>
                <w:vertAlign w:val="baseline"/>
                <w:lang w:val="en-US" w:eastAsia="zh-CN"/>
              </w:rPr>
              <w:t>dBm/10MHz</w:t>
            </w:r>
          </w:p>
        </w:tc>
        <w:tc>
          <w:tcPr>
            <w:tcW w:w="1704" w:type="dxa"/>
          </w:tcPr>
          <w:p>
            <w:pPr>
              <w:bidi w:val="0"/>
              <w:jc w:val="center"/>
              <w:rPr>
                <w:rFonts w:hint="default"/>
                <w:vertAlign w:val="baseline"/>
                <w:lang w:val="en-US" w:eastAsia="zh-CN"/>
              </w:rPr>
            </w:pPr>
            <w:r>
              <w:rPr>
                <w:rFonts w:hint="eastAsia"/>
                <w:vertAlign w:val="baseline"/>
                <w:lang w:val="en-US" w:eastAsia="zh-CN"/>
              </w:rPr>
              <w:t>-16</w:t>
            </w:r>
          </w:p>
        </w:tc>
        <w:tc>
          <w:tcPr>
            <w:tcW w:w="1704" w:type="dxa"/>
          </w:tcPr>
          <w:p>
            <w:pPr>
              <w:bidi w:val="0"/>
              <w:jc w:val="center"/>
              <w:rPr>
                <w:rFonts w:hint="default"/>
                <w:vertAlign w:val="baseline"/>
                <w:lang w:val="en-US" w:eastAsia="zh-CN"/>
              </w:rPr>
            </w:pPr>
            <w:r>
              <w:rPr>
                <w:rFonts w:hint="eastAsia"/>
                <w:vertAlign w:val="baseline"/>
                <w:lang w:val="en-US" w:eastAsia="zh-CN"/>
              </w:rPr>
              <w:t>-12</w:t>
            </w:r>
          </w:p>
        </w:tc>
        <w:tc>
          <w:tcPr>
            <w:tcW w:w="1704" w:type="dxa"/>
          </w:tcPr>
          <w:p>
            <w:pPr>
              <w:bidi w:val="0"/>
              <w:jc w:val="center"/>
              <w:rPr>
                <w:rFonts w:hint="default"/>
                <w:vertAlign w:val="baseline"/>
                <w:lang w:val="en-US" w:eastAsia="zh-CN"/>
              </w:rPr>
            </w:pPr>
            <w:r>
              <w:rPr>
                <w:rFonts w:hint="eastAsia"/>
                <w:vertAlign w:val="baseline"/>
                <w:lang w:val="en-US" w:eastAsia="zh-CN"/>
              </w:rPr>
              <w:t>-22</w:t>
            </w:r>
          </w:p>
        </w:tc>
        <w:tc>
          <w:tcPr>
            <w:tcW w:w="1704" w:type="dxa"/>
          </w:tcPr>
          <w:p>
            <w:pPr>
              <w:bidi w:val="0"/>
              <w:jc w:val="center"/>
              <w:rPr>
                <w:rFonts w:hint="default"/>
                <w:vertAlign w:val="baseline"/>
                <w:lang w:val="en-US" w:eastAsia="zh-CN"/>
              </w:rPr>
            </w:pPr>
            <w:r>
              <w:rPr>
                <w:rFonts w:hint="eastAsia"/>
                <w:vertAlign w:val="baseline"/>
                <w:lang w:val="en-US" w:eastAsia="zh-CN"/>
              </w:rPr>
              <w:t>-18</w:t>
            </w:r>
          </w:p>
        </w:tc>
      </w:tr>
    </w:tbl>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bCs/>
          <w:i w:val="0"/>
          <w:iCs w:val="0"/>
          <w:lang w:val="en-US" w:eastAsia="zh-CN"/>
        </w:rPr>
      </w:pPr>
      <w:r>
        <w:rPr>
          <w:rFonts w:hint="eastAsia"/>
          <w:b/>
          <w:bCs/>
          <w:i w:val="0"/>
          <w:iCs w:val="0"/>
          <w:lang w:val="en-US" w:eastAsia="zh-CN"/>
        </w:rPr>
        <w:t>Observation 1: The WRC-19 Resolution 750 has agreed specific requirement for 23.6--24GHz for band n 258.</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val="0"/>
          <w:bCs w:val="0"/>
          <w:i w:val="0"/>
          <w:iCs w:val="0"/>
          <w:lang w:val="en-US" w:eastAsia="zh-CN"/>
        </w:rPr>
      </w:pPr>
      <w:r>
        <w:rPr>
          <w:rFonts w:hint="eastAsia"/>
          <w:b w:val="0"/>
          <w:bCs w:val="0"/>
          <w:i w:val="0"/>
          <w:iCs w:val="0"/>
          <w:lang w:val="en-US" w:eastAsia="zh-CN"/>
        </w:rPr>
        <w:t>The requirement in 3GPP is captured in [3] for FR2 it should be as table 3 below:</w:t>
      </w:r>
    </w:p>
    <w:p>
      <w:pPr>
        <w:keepNext w:val="0"/>
        <w:keepLines w:val="0"/>
        <w:pageBreakBefore w:val="0"/>
        <w:widowControl/>
        <w:kinsoku/>
        <w:wordWrap/>
        <w:overflowPunct/>
        <w:topLinePunct w:val="0"/>
        <w:autoSpaceDE/>
        <w:autoSpaceDN/>
        <w:bidi w:val="0"/>
        <w:adjustRightInd/>
        <w:snapToGrid/>
        <w:spacing w:before="137" w:beforeLines="50"/>
        <w:jc w:val="center"/>
        <w:textAlignment w:val="auto"/>
        <w:outlineLvl w:val="9"/>
        <w:rPr>
          <w:rFonts w:hint="default"/>
          <w:b w:val="0"/>
          <w:bCs w:val="0"/>
          <w:i w:val="0"/>
          <w:iCs w:val="0"/>
          <w:lang w:val="en-US" w:eastAsia="zh-CN"/>
        </w:rPr>
      </w:pPr>
      <w:r>
        <w:rPr>
          <w:rFonts w:hint="eastAsia"/>
          <w:b w:val="0"/>
          <w:bCs w:val="0"/>
          <w:i w:val="0"/>
          <w:iCs w:val="0"/>
          <w:lang w:val="en-US" w:eastAsia="zh-CN"/>
        </w:rPr>
        <w:t>Table 3 OTA OBUE requirement for FR2</w:t>
      </w:r>
    </w:p>
    <w:tbl>
      <w:tblPr>
        <w:tblStyle w:val="52"/>
        <w:tblW w:w="8472" w:type="dxa"/>
        <w:jc w:val="center"/>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tcBorders>
              <w:top w:val="single" w:color="auto" w:sz="4" w:space="0"/>
              <w:left w:val="single" w:color="auto" w:sz="4" w:space="0"/>
              <w:bottom w:val="single" w:color="auto" w:sz="4" w:space="0"/>
              <w:right w:val="single" w:color="auto" w:sz="4" w:space="0"/>
            </w:tcBorders>
            <w:vAlign w:val="top"/>
          </w:tcPr>
          <w:p>
            <w:pPr>
              <w:pStyle w:val="62"/>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vAlign w:val="top"/>
          </w:tcPr>
          <w:p>
            <w:pPr>
              <w:pStyle w:val="62"/>
              <w:rPr>
                <w:lang w:val="en-US"/>
              </w:rPr>
            </w:pPr>
            <w:r>
              <w:rPr>
                <w:rFonts w:cs="v5.0.0"/>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vAlign w:val="top"/>
          </w:tcPr>
          <w:p>
            <w:pPr>
              <w:pStyle w:val="62"/>
              <w:rPr>
                <w:lang w:val="en-US"/>
              </w:rPr>
            </w:pPr>
            <w:r>
              <w:rPr>
                <w:lang w:val="en-US"/>
              </w:rPr>
              <w:t>Limit</w:t>
            </w:r>
          </w:p>
        </w:tc>
        <w:tc>
          <w:tcPr>
            <w:tcW w:w="1560" w:type="dxa"/>
            <w:tcBorders>
              <w:top w:val="single" w:color="auto" w:sz="4" w:space="0"/>
              <w:left w:val="single" w:color="auto" w:sz="4" w:space="0"/>
              <w:bottom w:val="single" w:color="auto" w:sz="4" w:space="0"/>
              <w:right w:val="single" w:color="auto" w:sz="4" w:space="0"/>
            </w:tcBorders>
            <w:vAlign w:val="top"/>
          </w:tcPr>
          <w:p>
            <w:pPr>
              <w:pStyle w:val="62"/>
              <w:rPr>
                <w:i/>
                <w:lang w:val="en-US"/>
              </w:rPr>
            </w:pPr>
            <w:r>
              <w:rPr>
                <w:i/>
                <w:lang w:val="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tcBorders>
              <w:top w:val="single" w:color="auto" w:sz="4" w:space="0"/>
              <w:left w:val="single" w:color="auto" w:sz="4" w:space="0"/>
              <w:bottom w:val="single" w:color="auto" w:sz="4" w:space="0"/>
              <w:right w:val="single" w:color="auto" w:sz="4" w:space="0"/>
            </w:tcBorders>
            <w:vAlign w:val="top"/>
          </w:tcPr>
          <w:p>
            <w:pPr>
              <w:pStyle w:val="63"/>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vAlign w:val="top"/>
          </w:tcPr>
          <w:p>
            <w:pPr>
              <w:pStyle w:val="63"/>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color="auto" w:sz="4" w:space="0"/>
              <w:left w:val="single" w:color="auto" w:sz="4" w:space="0"/>
              <w:bottom w:val="single" w:color="auto" w:sz="4" w:space="0"/>
              <w:right w:val="single" w:color="auto" w:sz="4" w:space="0"/>
            </w:tcBorders>
            <w:vAlign w:val="top"/>
          </w:tcPr>
          <w:p>
            <w:pPr>
              <w:pStyle w:val="63"/>
              <w:rPr>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35 dB, -12 dBm))</w:t>
            </w:r>
          </w:p>
        </w:tc>
        <w:tc>
          <w:tcPr>
            <w:tcW w:w="1560" w:type="dxa"/>
            <w:tcBorders>
              <w:top w:val="single" w:color="auto" w:sz="4" w:space="0"/>
              <w:left w:val="single" w:color="auto" w:sz="4" w:space="0"/>
              <w:bottom w:val="single" w:color="auto" w:sz="4" w:space="0"/>
              <w:right w:val="single" w:color="auto" w:sz="4" w:space="0"/>
            </w:tcBorders>
            <w:vAlign w:val="top"/>
          </w:tcPr>
          <w:p>
            <w:pPr>
              <w:pStyle w:val="63"/>
              <w:rPr>
                <w:lang w:val="en-US"/>
              </w:rPr>
            </w:pPr>
            <w:r>
              <w:rPr>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tcBorders>
              <w:top w:val="single" w:color="auto" w:sz="4" w:space="0"/>
              <w:left w:val="single" w:color="auto" w:sz="4" w:space="0"/>
              <w:bottom w:val="single" w:color="auto" w:sz="4" w:space="0"/>
              <w:right w:val="single" w:color="auto" w:sz="4" w:space="0"/>
            </w:tcBorders>
            <w:vAlign w:val="top"/>
          </w:tcPr>
          <w:p>
            <w:pPr>
              <w:pStyle w:val="63"/>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2552" w:type="dxa"/>
            <w:vAlign w:val="top"/>
          </w:tcPr>
          <w:p>
            <w:pPr>
              <w:pStyle w:val="63"/>
              <w:rPr>
                <w:rFonts w:eastAsia="MS Mincho"/>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+0.5 MHz</w:t>
            </w:r>
          </w:p>
        </w:tc>
        <w:tc>
          <w:tcPr>
            <w:tcW w:w="2551" w:type="dxa"/>
            <w:tcBorders>
              <w:top w:val="single" w:color="auto" w:sz="4" w:space="0"/>
              <w:left w:val="single" w:color="auto" w:sz="4" w:space="0"/>
              <w:bottom w:val="single" w:color="auto" w:sz="4" w:space="0"/>
              <w:right w:val="single" w:color="auto" w:sz="4" w:space="0"/>
            </w:tcBorders>
            <w:vAlign w:val="top"/>
          </w:tcPr>
          <w:p>
            <w:pPr>
              <w:pStyle w:val="63"/>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43 dB, -20 dBm))</w:t>
            </w:r>
          </w:p>
        </w:tc>
        <w:tc>
          <w:tcPr>
            <w:tcW w:w="1560" w:type="dxa"/>
            <w:tcBorders>
              <w:top w:val="single" w:color="auto" w:sz="4" w:space="0"/>
              <w:left w:val="single" w:color="auto" w:sz="4" w:space="0"/>
              <w:bottom w:val="single" w:color="auto" w:sz="4" w:space="0"/>
              <w:right w:val="single" w:color="auto" w:sz="4" w:space="0"/>
            </w:tcBorders>
            <w:vAlign w:val="top"/>
          </w:tcPr>
          <w:p>
            <w:pPr>
              <w:pStyle w:val="63"/>
              <w:rPr>
                <w:lang w:val="en-US"/>
              </w:rPr>
            </w:pPr>
            <w:r>
              <w:rPr>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tcBorders>
              <w:top w:val="single" w:color="auto" w:sz="4" w:space="0"/>
              <w:left w:val="single" w:color="auto" w:sz="4" w:space="0"/>
              <w:bottom w:val="single" w:color="auto" w:sz="4" w:space="0"/>
              <w:right w:val="single" w:color="auto" w:sz="4" w:space="0"/>
            </w:tcBorders>
            <w:vAlign w:val="top"/>
          </w:tcPr>
          <w:p>
            <w:pPr>
              <w:pStyle w:val="63"/>
              <w:rPr>
                <w:kern w:val="2"/>
                <w:szCs w:val="22"/>
                <w:lang w:val="en-US" w:eastAsia="zh-CN"/>
              </w:rPr>
            </w:pPr>
            <w:r>
              <w:rPr>
                <w:rFonts w:cs="v5.0.0"/>
              </w:rPr>
              <w:sym w:font="Symbol" w:char="F044"/>
            </w:r>
            <w:r>
              <w:rPr>
                <w:rFonts w:cs="v5.0.0"/>
              </w:rPr>
              <w:t>f</w:t>
            </w:r>
            <w:r>
              <w:rPr>
                <w:rFonts w:cs="v5.0.0"/>
                <w:vertAlign w:val="subscript"/>
              </w:rPr>
              <w:t>B</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vAlign w:val="top"/>
          </w:tcPr>
          <w:p>
            <w:pPr>
              <w:pStyle w:val="63"/>
              <w:rPr>
                <w:kern w:val="2"/>
                <w:szCs w:val="22"/>
                <w:lang w:eastAsia="zh-CN"/>
              </w:rPr>
            </w:pP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color="auto" w:sz="4" w:space="0"/>
              <w:left w:val="single" w:color="auto" w:sz="4" w:space="0"/>
              <w:bottom w:val="single" w:color="auto" w:sz="4" w:space="0"/>
              <w:right w:val="single" w:color="auto" w:sz="4" w:space="0"/>
            </w:tcBorders>
            <w:vAlign w:val="top"/>
          </w:tcPr>
          <w:p>
            <w:pPr>
              <w:pStyle w:val="63"/>
              <w:rPr>
                <w:rFonts w:eastAsia="MS Mincho"/>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33 dB, -10 dBm))</w:t>
            </w:r>
          </w:p>
        </w:tc>
        <w:tc>
          <w:tcPr>
            <w:tcW w:w="1560" w:type="dxa"/>
            <w:tcBorders>
              <w:top w:val="single" w:color="auto" w:sz="4" w:space="0"/>
              <w:left w:val="single" w:color="auto" w:sz="4" w:space="0"/>
              <w:bottom w:val="single" w:color="auto" w:sz="4" w:space="0"/>
              <w:right w:val="single" w:color="auto" w:sz="4" w:space="0"/>
            </w:tcBorders>
            <w:vAlign w:val="top"/>
          </w:tcPr>
          <w:p>
            <w:pPr>
              <w:pStyle w:val="63"/>
              <w:rPr>
                <w:lang w:val="en-US"/>
              </w:rPr>
            </w:pPr>
            <w:r>
              <w:rPr>
                <w:lang w:val="en-US"/>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72" w:type="dxa"/>
            <w:gridSpan w:val="4"/>
            <w:tcBorders>
              <w:top w:val="single" w:color="auto" w:sz="4" w:space="0"/>
              <w:left w:val="single" w:color="auto" w:sz="4" w:space="0"/>
              <w:bottom w:val="single" w:color="auto" w:sz="4" w:space="0"/>
              <w:right w:val="single" w:color="auto" w:sz="4" w:space="0"/>
            </w:tcBorders>
            <w:vAlign w:val="top"/>
          </w:tcPr>
          <w:p>
            <w:pPr>
              <w:pStyle w:val="75"/>
              <w:rPr>
                <w:lang w:val="en-US"/>
              </w:rPr>
            </w:pPr>
            <w:r>
              <w:rPr>
                <w:lang w:val="en-US"/>
              </w:rPr>
              <w:t>NOTE 1:</w:t>
            </w:r>
            <w:r>
              <w:rPr>
                <w:lang w:val="en-US"/>
              </w:rPr>
              <w:tab/>
            </w:r>
            <w:r>
              <w:rPr>
                <w:lang w:val="en-US"/>
              </w:rPr>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sub-blocks on each side of the sub-block gap. </w:t>
            </w:r>
          </w:p>
          <w:p>
            <w:pPr>
              <w:pStyle w:val="75"/>
              <w:rPr>
                <w:lang w:val="en-US"/>
              </w:rPr>
            </w:pPr>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p>
        </w:tc>
      </w:tr>
    </w:tbl>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val="0"/>
          <w:bCs w:val="0"/>
          <w:i w:val="0"/>
          <w:iCs w:val="0"/>
          <w:lang w:val="en-US" w:eastAsia="zh-CN"/>
        </w:rPr>
      </w:pPr>
      <w:r>
        <w:rPr>
          <w:rFonts w:hint="eastAsia"/>
          <w:b w:val="0"/>
          <w:bCs w:val="0"/>
          <w:i w:val="0"/>
          <w:iCs w:val="0"/>
          <w:lang w:val="en-US" w:eastAsia="zh-CN"/>
        </w:rPr>
        <w:t>Here the OBUE requirement is used instead of spurious emission is because the out-of-band domain delta fobue has been defined as 1.5GHz for FR2. Take 400MHz contiguous bandwidth which is currently used the most as an example, the requirement should be:</w:t>
      </w:r>
    </w:p>
    <w:p>
      <w:pPr>
        <w:ind w:firstLine="420" w:firstLineChars="0"/>
        <w:rPr>
          <w:rFonts w:hint="default"/>
          <w:lang w:val="en-US" w:eastAsia="zh-CN"/>
        </w:rPr>
      </w:pPr>
      <w:r>
        <w:rPr>
          <w:rFonts w:hint="eastAsia"/>
          <w:lang w:val="en-US" w:eastAsia="zh-CN"/>
        </w:rPr>
        <w:t xml:space="preserve">0 MHz to 40MHz: -5dBm/MHz        </w:t>
      </w:r>
    </w:p>
    <w:p>
      <w:pPr>
        <w:ind w:firstLine="420" w:firstLineChars="0"/>
        <w:rPr>
          <w:rFonts w:hint="eastAsia"/>
          <w:lang w:val="en-US" w:eastAsia="zh-CN"/>
        </w:rPr>
      </w:pPr>
      <w:r>
        <w:rPr>
          <w:rFonts w:hint="eastAsia"/>
          <w:lang w:val="en-US" w:eastAsia="zh-CN"/>
        </w:rPr>
        <w:t>40MHz to 800MHz: -13dBm/MHz</w:t>
      </w:r>
    </w:p>
    <w:p>
      <w:pPr>
        <w:ind w:firstLine="420" w:firstLineChars="0"/>
        <w:rPr>
          <w:rFonts w:hint="eastAsia"/>
          <w:lang w:val="en-US" w:eastAsia="zh-CN"/>
        </w:rPr>
      </w:pPr>
      <w:r>
        <w:rPr>
          <w:rFonts w:hint="eastAsia"/>
          <w:lang w:val="en-US" w:eastAsia="zh-CN"/>
        </w:rPr>
        <w:t>800MHz to 1.5GHz: -5dBm/10MHz</w:t>
      </w:r>
    </w:p>
    <w:p>
      <w:pPr>
        <w:rPr>
          <w:rFonts w:hint="default"/>
          <w:lang w:val="en-US" w:eastAsia="zh-CN"/>
        </w:rPr>
      </w:pPr>
      <w:r>
        <w:rPr>
          <w:rFonts w:hint="eastAsia"/>
          <w:lang w:val="en-US" w:eastAsia="zh-CN"/>
        </w:rPr>
        <w:t>Corresponding frequency range should be:</w:t>
      </w:r>
    </w:p>
    <w:p>
      <w:pPr>
        <w:ind w:firstLine="420" w:firstLineChars="0"/>
        <w:rPr>
          <w:rFonts w:hint="eastAsia"/>
          <w:lang w:val="en-US" w:eastAsia="zh-CN"/>
        </w:rPr>
      </w:pPr>
      <w:r>
        <w:rPr>
          <w:rFonts w:hint="eastAsia"/>
          <w:lang w:val="en-US" w:eastAsia="zh-CN"/>
        </w:rPr>
        <w:t>22.75GHz to 23.45GHz: -5dBm/10MHz</w:t>
      </w:r>
    </w:p>
    <w:p>
      <w:pPr>
        <w:ind w:firstLine="420" w:firstLineChars="0"/>
        <w:rPr>
          <w:rFonts w:hint="eastAsia"/>
          <w:highlight w:val="none"/>
          <w:lang w:val="en-US" w:eastAsia="zh-CN"/>
        </w:rPr>
      </w:pPr>
      <w:r>
        <w:rPr>
          <w:rFonts w:hint="eastAsia"/>
          <w:highlight w:val="none"/>
          <w:lang w:val="en-US" w:eastAsia="zh-CN"/>
        </w:rPr>
        <w:t>23.45GHz to 23.85GHz: -13dBm/MHz</w:t>
      </w:r>
    </w:p>
    <w:p>
      <w:pPr>
        <w:ind w:firstLine="420" w:firstLineChars="0"/>
        <w:rPr>
          <w:rFonts w:hint="default"/>
          <w:highlight w:val="none"/>
          <w:lang w:val="en-US" w:eastAsia="zh-CN"/>
        </w:rPr>
      </w:pPr>
      <w:r>
        <w:rPr>
          <w:rFonts w:hint="eastAsia"/>
          <w:highlight w:val="none"/>
          <w:lang w:val="en-US" w:eastAsia="zh-CN"/>
        </w:rPr>
        <w:t>23.85GHz to 24.25GHz: -5dBm/MHz</w:t>
      </w:r>
    </w:p>
    <w:p>
      <w:pPr>
        <w:ind w:firstLine="420" w:firstLineChars="0"/>
        <w:rPr>
          <w:rFonts w:hint="eastAsia"/>
          <w:b w:val="0"/>
          <w:bCs w:val="0"/>
          <w:i w:val="0"/>
          <w:iCs w:val="0"/>
          <w:lang w:val="en-US" w:eastAsia="zh-CN"/>
        </w:rPr>
      </w:pPr>
      <w:r>
        <w:rPr>
          <w:rFonts w:hint="eastAsia"/>
          <w:b w:val="0"/>
          <w:bCs w:val="0"/>
          <w:i w:val="0"/>
          <w:iCs w:val="0"/>
          <w:lang w:val="en-US" w:eastAsia="zh-CN"/>
        </w:rPr>
        <w:t>So the requirement within 23.6GHz to 24GHz should be:</w:t>
      </w:r>
      <w:r>
        <w:rPr>
          <w:rFonts w:hint="eastAsia"/>
          <w:b w:val="0"/>
          <w:bCs w:val="0"/>
          <w:i w:val="0"/>
          <w:iCs w:val="0"/>
          <w:lang w:val="en-US" w:eastAsia="zh-CN"/>
        </w:rPr>
        <w:tab/>
      </w:r>
    </w:p>
    <w:p>
      <w:pPr>
        <w:keepNext w:val="0"/>
        <w:keepLines w:val="0"/>
        <w:pageBreakBefore w:val="0"/>
        <w:widowControl/>
        <w:kinsoku/>
        <w:wordWrap/>
        <w:overflowPunct/>
        <w:topLinePunct w:val="0"/>
        <w:autoSpaceDE/>
        <w:autoSpaceDN/>
        <w:bidi w:val="0"/>
        <w:adjustRightInd/>
        <w:snapToGrid/>
        <w:spacing w:before="273" w:beforeLines="100"/>
        <w:ind w:firstLine="480" w:firstLineChars="240"/>
        <w:textAlignment w:val="auto"/>
        <w:outlineLvl w:val="9"/>
        <w:rPr>
          <w:rFonts w:hint="eastAsia"/>
          <w:highlight w:val="none"/>
          <w:lang w:val="en-US" w:eastAsia="zh-CN"/>
        </w:rPr>
      </w:pPr>
      <w:r>
        <w:rPr>
          <w:rFonts w:hint="eastAsia"/>
          <w:highlight w:val="none"/>
          <w:lang w:val="en-US" w:eastAsia="zh-CN"/>
        </w:rPr>
        <w:t>23.6GHz to 23.85GHz: -13dBm/MHz</w:t>
      </w:r>
    </w:p>
    <w:p>
      <w:pPr>
        <w:ind w:firstLine="420" w:firstLineChars="0"/>
        <w:rPr>
          <w:rFonts w:hint="default"/>
          <w:highlight w:val="none"/>
          <w:lang w:val="en-US" w:eastAsia="zh-CN"/>
        </w:rPr>
      </w:pPr>
      <w:r>
        <w:rPr>
          <w:rFonts w:hint="eastAsia"/>
          <w:highlight w:val="none"/>
          <w:lang w:val="en-US" w:eastAsia="zh-CN"/>
        </w:rPr>
        <w:t>23.85GHz to 24GHz: -5dBm/MHz</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default"/>
          <w:b w:val="0"/>
          <w:bCs w:val="0"/>
          <w:i w:val="0"/>
          <w:iCs w:val="0"/>
          <w:lang w:val="en-US" w:eastAsia="zh-CN"/>
        </w:rPr>
      </w:pPr>
      <w:r>
        <w:rPr>
          <w:rFonts w:hint="eastAsia"/>
          <w:b w:val="0"/>
          <w:bCs w:val="0"/>
          <w:i w:val="0"/>
          <w:iCs w:val="0"/>
          <w:lang w:val="en-US" w:eastAsia="zh-CN"/>
        </w:rPr>
        <w:t xml:space="preserve">If we compare this requirement in table 3 as -26dBm/MHz, the requirement in WRC-19 is 13dB more stringent than 3GPP. </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bCs/>
          <w:i w:val="0"/>
          <w:iCs w:val="0"/>
          <w:lang w:val="en-US" w:eastAsia="zh-CN"/>
        </w:rPr>
      </w:pPr>
      <w:r>
        <w:rPr>
          <w:rFonts w:hint="eastAsia"/>
          <w:b/>
          <w:bCs/>
          <w:i w:val="0"/>
          <w:iCs w:val="0"/>
          <w:lang w:val="en-US" w:eastAsia="zh-CN"/>
        </w:rPr>
        <w:t>Observation 2: The emission requirement within 23.6--24GHz agreed in WRC-19 is much more stringent than current 3GPP OBUE requirement.</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val="0"/>
          <w:bCs w:val="0"/>
          <w:i w:val="0"/>
          <w:iCs w:val="0"/>
          <w:lang w:val="en-US" w:eastAsia="zh-CN"/>
        </w:rPr>
      </w:pPr>
      <w:r>
        <w:rPr>
          <w:rFonts w:hint="eastAsia"/>
          <w:b w:val="0"/>
          <w:bCs w:val="0"/>
          <w:i w:val="0"/>
          <w:iCs w:val="0"/>
          <w:lang w:val="en-US" w:eastAsia="zh-CN"/>
        </w:rPr>
        <w:t>The WRC-19 requirement applies globally while the ECC decision applied within Europe and it is even more stringent. From [2] the requirement is shown below:</w:t>
      </w:r>
    </w:p>
    <w:p>
      <w:pPr>
        <w:keepNext w:val="0"/>
        <w:keepLines w:val="0"/>
        <w:pageBreakBefore w:val="0"/>
        <w:widowControl/>
        <w:kinsoku/>
        <w:wordWrap/>
        <w:overflowPunct/>
        <w:topLinePunct w:val="0"/>
        <w:autoSpaceDE/>
        <w:autoSpaceDN/>
        <w:bidi w:val="0"/>
        <w:adjustRightInd/>
        <w:snapToGrid/>
        <w:spacing w:before="137" w:beforeLines="50"/>
        <w:jc w:val="center"/>
        <w:textAlignment w:val="auto"/>
        <w:outlineLvl w:val="9"/>
        <w:rPr>
          <w:rFonts w:hint="default"/>
          <w:b w:val="0"/>
          <w:bCs w:val="0"/>
          <w:i w:val="0"/>
          <w:iCs w:val="0"/>
          <w:lang w:val="en-US" w:eastAsia="zh-CN"/>
        </w:rPr>
      </w:pPr>
      <w:r>
        <w:rPr>
          <w:rFonts w:hint="eastAsia"/>
          <w:b w:val="0"/>
          <w:bCs w:val="0"/>
          <w:i w:val="0"/>
          <w:iCs w:val="0"/>
          <w:lang w:val="en-US" w:eastAsia="zh-CN"/>
        </w:rPr>
        <w:t>Table 4 Requirement in ECC</w:t>
      </w:r>
    </w:p>
    <w:p>
      <w:pPr>
        <w:keepNext w:val="0"/>
        <w:keepLines w:val="0"/>
        <w:pageBreakBefore w:val="0"/>
        <w:widowControl/>
        <w:kinsoku/>
        <w:wordWrap/>
        <w:overflowPunct/>
        <w:topLinePunct w:val="0"/>
        <w:autoSpaceDE/>
        <w:autoSpaceDN/>
        <w:bidi w:val="0"/>
        <w:adjustRightInd/>
        <w:snapToGrid/>
        <w:spacing w:before="137" w:beforeLines="50"/>
        <w:jc w:val="center"/>
        <w:textAlignment w:val="auto"/>
        <w:outlineLvl w:val="9"/>
      </w:pPr>
      <w:r>
        <w:drawing>
          <wp:inline distT="0" distB="0" distL="114300" distR="114300">
            <wp:extent cx="5262245" cy="954405"/>
            <wp:effectExtent l="0" t="0" r="14605" b="171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62245" cy="95440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lang w:val="en-US" w:eastAsia="zh-CN"/>
        </w:rPr>
      </w:pPr>
      <w:r>
        <w:rPr>
          <w:rFonts w:hint="eastAsia"/>
          <w:lang w:val="en-US" w:eastAsia="zh-CN"/>
        </w:rPr>
        <w:t>-42dBW per 200MHz can be transferred as -35dBm/MHz which is 9dB more stringent than WRC-19 requirement. The figure 1 below shows the current situation of 3 different limits:</w:t>
      </w:r>
    </w:p>
    <w:p>
      <w:pPr>
        <w:keepNext w:val="0"/>
        <w:keepLines w:val="0"/>
        <w:pageBreakBefore w:val="0"/>
        <w:widowControl/>
        <w:kinsoku/>
        <w:wordWrap/>
        <w:overflowPunct/>
        <w:topLinePunct w:val="0"/>
        <w:autoSpaceDE/>
        <w:autoSpaceDN/>
        <w:bidi w:val="0"/>
        <w:adjustRightInd/>
        <w:snapToGrid/>
        <w:spacing w:before="137" w:beforeLines="50"/>
        <w:jc w:val="center"/>
        <w:textAlignment w:val="auto"/>
        <w:outlineLvl w:val="9"/>
      </w:pPr>
      <w:r>
        <w:drawing>
          <wp:inline distT="0" distB="0" distL="114300" distR="114300">
            <wp:extent cx="5194935" cy="2146935"/>
            <wp:effectExtent l="0" t="0" r="5715"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5194935" cy="214693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before="137" w:beforeLines="50"/>
        <w:jc w:val="center"/>
        <w:textAlignment w:val="auto"/>
        <w:outlineLvl w:val="9"/>
        <w:rPr>
          <w:rFonts w:hint="default" w:eastAsia="宋体"/>
          <w:lang w:val="en-US" w:eastAsia="zh-CN"/>
        </w:rPr>
      </w:pPr>
      <w:r>
        <w:rPr>
          <w:rFonts w:hint="eastAsia"/>
          <w:lang w:val="en-US" w:eastAsia="zh-CN"/>
        </w:rPr>
        <w:t>Figure 1 Three different emission limits with 23.6--24GHz</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val="0"/>
          <w:bCs w:val="0"/>
          <w:i w:val="0"/>
          <w:iCs w:val="0"/>
          <w:lang w:val="en-US" w:eastAsia="zh-CN"/>
        </w:rPr>
      </w:pPr>
      <w:r>
        <w:rPr>
          <w:rFonts w:hint="eastAsia"/>
          <w:b w:val="0"/>
          <w:bCs w:val="0"/>
          <w:i w:val="0"/>
          <w:iCs w:val="0"/>
          <w:lang w:val="en-US" w:eastAsia="zh-CN"/>
        </w:rPr>
        <w:t>In figure 1, The 3GPP limit is in red, WRC-19 requirement is in green and ECC limit is in yellow.</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val="0"/>
          <w:bCs w:val="0"/>
          <w:i w:val="0"/>
          <w:iCs w:val="0"/>
          <w:lang w:val="en-US" w:eastAsia="zh-CN"/>
        </w:rPr>
      </w:pPr>
      <w:r>
        <w:rPr>
          <w:rFonts w:hint="eastAsia"/>
          <w:b/>
          <w:bCs/>
          <w:i w:val="0"/>
          <w:iCs w:val="0"/>
          <w:lang w:val="en-US" w:eastAsia="zh-CN"/>
        </w:rPr>
        <w:t>Observation 3: ECC limit is 9dB more stringent than WRC-19 requirement.</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val="0"/>
          <w:bCs w:val="0"/>
          <w:i w:val="0"/>
          <w:iCs w:val="0"/>
          <w:lang w:val="en-US" w:eastAsia="zh-CN"/>
        </w:rPr>
      </w:pPr>
      <w:r>
        <w:rPr>
          <w:rFonts w:hint="eastAsia"/>
          <w:b w:val="0"/>
          <w:bCs w:val="0"/>
          <w:i w:val="0"/>
          <w:iCs w:val="0"/>
          <w:lang w:val="en-US" w:eastAsia="zh-CN"/>
        </w:rPr>
        <w:t>The calculation to dBm/MHz of all the limits is to show the difference between 3 limits. In practical measurement, the larger measurement bandwidth usually means somehow less stringent requirement as the cumulative method will to some extent average the peak value. But the 13dB and 22dB difference shown in figure 1 need to be understood in 3GPP.</w:t>
      </w:r>
    </w:p>
    <w:p>
      <w:pPr>
        <w:pStyle w:val="3"/>
        <w:bidi w:val="0"/>
        <w:rPr>
          <w:rFonts w:hint="default"/>
          <w:lang w:val="en-US" w:eastAsia="zh-CN"/>
        </w:rPr>
      </w:pPr>
      <w:r>
        <w:rPr>
          <w:rFonts w:hint="eastAsia"/>
          <w:lang w:val="en-US" w:eastAsia="zh-CN"/>
        </w:rPr>
        <w:t>How to handle the difference</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val="0"/>
          <w:bCs w:val="0"/>
          <w:i w:val="0"/>
          <w:iCs w:val="0"/>
          <w:lang w:val="en-US" w:eastAsia="zh-CN"/>
        </w:rPr>
      </w:pPr>
      <w:r>
        <w:rPr>
          <w:rFonts w:hint="eastAsia"/>
          <w:b w:val="0"/>
          <w:bCs w:val="0"/>
          <w:i w:val="0"/>
          <w:iCs w:val="0"/>
          <w:lang w:val="en-US" w:eastAsia="zh-CN"/>
        </w:rPr>
        <w:t>Firstly, we would like to talk about the most stringent requirement of ECC from [2]. There is on-going discussion within ECC during the January 2020 meeting that current ECC decision has more stringent requirement comparing to WRC-19. Weather to revise current decision has no agreement yet. Hence we can wait for ECC decision and take additional action after taht.</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bCs/>
          <w:i w:val="0"/>
          <w:iCs w:val="0"/>
          <w:lang w:val="en-US" w:eastAsia="zh-CN"/>
        </w:rPr>
      </w:pPr>
      <w:r>
        <w:rPr>
          <w:rFonts w:hint="eastAsia"/>
          <w:b/>
          <w:bCs/>
          <w:i w:val="0"/>
          <w:iCs w:val="0"/>
          <w:lang w:val="en-US" w:eastAsia="zh-CN"/>
        </w:rPr>
        <w:t>Observation 4: For ECC decision(18)06, we can wait for ECC decision.</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val="0"/>
          <w:bCs w:val="0"/>
          <w:i w:val="0"/>
          <w:iCs w:val="0"/>
          <w:lang w:val="en-US" w:eastAsia="zh-CN"/>
        </w:rPr>
      </w:pPr>
      <w:r>
        <w:rPr>
          <w:rFonts w:hint="eastAsia"/>
          <w:b w:val="0"/>
          <w:bCs w:val="0"/>
          <w:i w:val="0"/>
          <w:iCs w:val="0"/>
          <w:lang w:val="en-US" w:eastAsia="zh-CN"/>
        </w:rPr>
        <w:t xml:space="preserve">Secondly, the WRC-19 requirement needs to be captured in 3GPP specification. We can see from table 1 that the WRC-19 requirement applies only for band n258. Current 3GPP specification captured the OBUE requirement with category A limit and category B limit. As the requirement is only for band n258, it is proposed to add this requirement in Cat A and Cat B limit table respectively and marked as </w:t>
      </w:r>
      <w:r>
        <w:rPr>
          <w:rFonts w:hint="default"/>
          <w:b w:val="0"/>
          <w:bCs w:val="0"/>
          <w:i w:val="0"/>
          <w:iCs w:val="0"/>
          <w:lang w:val="en-US" w:eastAsia="zh-CN"/>
        </w:rPr>
        <w:t>“</w:t>
      </w:r>
      <w:r>
        <w:rPr>
          <w:rFonts w:hint="eastAsia"/>
          <w:b w:val="0"/>
          <w:bCs w:val="0"/>
          <w:i w:val="0"/>
          <w:iCs w:val="0"/>
          <w:lang w:val="en-US" w:eastAsia="zh-CN"/>
        </w:rPr>
        <w:t>only for band n258</w:t>
      </w:r>
      <w:r>
        <w:rPr>
          <w:rFonts w:hint="default"/>
          <w:b w:val="0"/>
          <w:bCs w:val="0"/>
          <w:i w:val="0"/>
          <w:iCs w:val="0"/>
          <w:lang w:val="en-US" w:eastAsia="zh-CN"/>
        </w:rPr>
        <w:t>”</w:t>
      </w:r>
      <w:r>
        <w:rPr>
          <w:rFonts w:hint="eastAsia"/>
          <w:b w:val="0"/>
          <w:bCs w:val="0"/>
          <w:i w:val="0"/>
          <w:iCs w:val="0"/>
          <w:lang w:val="en-US" w:eastAsia="zh-CN"/>
        </w:rPr>
        <w:t xml:space="preserve">.  </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val="0"/>
          <w:bCs w:val="0"/>
          <w:i w:val="0"/>
          <w:iCs w:val="0"/>
          <w:lang w:val="en-US" w:eastAsia="zh-CN"/>
        </w:rPr>
      </w:pPr>
      <w:r>
        <w:rPr>
          <w:rFonts w:hint="eastAsia"/>
          <w:b w:val="0"/>
          <w:bCs w:val="0"/>
          <w:i w:val="0"/>
          <w:iCs w:val="0"/>
          <w:lang w:val="en-US" w:eastAsia="zh-CN"/>
        </w:rPr>
        <w:t>Corresponding CRs has been provided to capture the requirement.</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default"/>
          <w:b/>
          <w:bCs/>
          <w:i w:val="0"/>
          <w:iCs w:val="0"/>
          <w:lang w:val="en-US" w:eastAsia="zh-CN"/>
        </w:rPr>
      </w:pPr>
      <w:r>
        <w:rPr>
          <w:rFonts w:hint="eastAsia"/>
          <w:b/>
          <w:bCs/>
          <w:i w:val="0"/>
          <w:iCs w:val="0"/>
          <w:lang w:val="en-US" w:eastAsia="zh-CN"/>
        </w:rPr>
        <w:t>Proposal: To capture the WRC-19 requirement in 3GPP specification.</w:t>
      </w:r>
    </w:p>
    <w:p>
      <w:pPr>
        <w:pStyle w:val="2"/>
        <w:rPr>
          <w:rFonts w:cs="Arial"/>
          <w:lang w:eastAsia="zh-CN"/>
        </w:rPr>
      </w:pPr>
      <w:r>
        <w:rPr>
          <w:rFonts w:cs="Arial"/>
          <w:lang w:eastAsia="zh-CN"/>
        </w:rPr>
        <w:t>Conclusion</w:t>
      </w:r>
    </w:p>
    <w:p>
      <w:pPr>
        <w:rPr>
          <w:rFonts w:hint="eastAsia"/>
          <w:lang w:val="en-US" w:eastAsia="zh-CN"/>
        </w:rPr>
      </w:pPr>
      <w:r>
        <w:rPr>
          <w:rFonts w:hint="eastAsia"/>
          <w:color w:val="000000"/>
          <w:lang w:val="en-US" w:eastAsia="zh-CN"/>
        </w:rPr>
        <w:t>In this contribution, w</w:t>
      </w:r>
      <w:r>
        <w:rPr>
          <w:rFonts w:hint="eastAsia"/>
          <w:lang w:val="en-US" w:eastAsia="zh-CN"/>
        </w:rPr>
        <w:t>e give analysis of WRC-19 decision and the observations and proposals are:</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bCs/>
          <w:i w:val="0"/>
          <w:iCs w:val="0"/>
          <w:lang w:val="en-US" w:eastAsia="zh-CN"/>
        </w:rPr>
      </w:pPr>
      <w:r>
        <w:rPr>
          <w:rFonts w:hint="eastAsia"/>
          <w:b/>
          <w:bCs/>
          <w:i w:val="0"/>
          <w:iCs w:val="0"/>
          <w:lang w:val="en-US" w:eastAsia="zh-CN"/>
        </w:rPr>
        <w:t>Observation 1: The WRC-19 Resolution 750 has agreed specific requirement for 23.6--24GHz for band n 258.</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bCs/>
          <w:i w:val="0"/>
          <w:iCs w:val="0"/>
          <w:lang w:val="en-US" w:eastAsia="zh-CN"/>
        </w:rPr>
      </w:pPr>
      <w:r>
        <w:rPr>
          <w:rFonts w:hint="eastAsia"/>
          <w:b/>
          <w:bCs/>
          <w:i w:val="0"/>
          <w:iCs w:val="0"/>
          <w:lang w:val="en-US" w:eastAsia="zh-CN"/>
        </w:rPr>
        <w:t>Observation 2: The emission requirement within 23.6--24GHz agreed in WRC-19 is much more stringent than current 3GPP OBUE requirement.</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val="0"/>
          <w:bCs w:val="0"/>
          <w:i w:val="0"/>
          <w:iCs w:val="0"/>
          <w:lang w:val="en-US" w:eastAsia="zh-CN"/>
        </w:rPr>
      </w:pPr>
      <w:r>
        <w:rPr>
          <w:rFonts w:hint="eastAsia"/>
          <w:b/>
          <w:bCs/>
          <w:i w:val="0"/>
          <w:iCs w:val="0"/>
          <w:lang w:val="en-US" w:eastAsia="zh-CN"/>
        </w:rPr>
        <w:t>Observation 3: ECC limit is 9dB more stringent than WRC-19 requirement.</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bCs/>
          <w:i w:val="0"/>
          <w:iCs w:val="0"/>
          <w:lang w:val="en-US" w:eastAsia="zh-CN"/>
        </w:rPr>
      </w:pPr>
      <w:r>
        <w:rPr>
          <w:rFonts w:hint="eastAsia"/>
          <w:b/>
          <w:bCs/>
          <w:i w:val="0"/>
          <w:iCs w:val="0"/>
          <w:lang w:val="en-US" w:eastAsia="zh-CN"/>
        </w:rPr>
        <w:t>Observation 4: For ECC decision(18)06, we can wait for ECC decision.</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default"/>
          <w:b/>
          <w:bCs/>
          <w:i w:val="0"/>
          <w:iCs w:val="0"/>
          <w:lang w:val="en-US" w:eastAsia="zh-CN"/>
        </w:rPr>
      </w:pPr>
      <w:r>
        <w:rPr>
          <w:rFonts w:hint="eastAsia"/>
          <w:b/>
          <w:bCs/>
          <w:i w:val="0"/>
          <w:iCs w:val="0"/>
          <w:lang w:val="en-US" w:eastAsia="zh-CN"/>
        </w:rPr>
        <w:t>Proposal: To capture the WRC-19 requirement in 3GPP specification.</w:t>
      </w:r>
    </w:p>
    <w:p>
      <w:pPr>
        <w:pStyle w:val="2"/>
        <w:numPr>
          <w:ilvl w:val="0"/>
          <w:numId w:val="0"/>
        </w:numPr>
        <w:tabs>
          <w:tab w:val="clear" w:pos="432"/>
        </w:tabs>
        <w:ind w:leftChars="0"/>
        <w:rPr>
          <w:rFonts w:cs="Arial"/>
          <w:lang w:eastAsia="zh-CN"/>
        </w:rPr>
      </w:pPr>
      <w:r>
        <w:rPr>
          <w:rFonts w:cs="Arial"/>
          <w:lang w:eastAsia="zh-CN"/>
        </w:rPr>
        <w:t>References</w:t>
      </w:r>
    </w:p>
    <w:p>
      <w:pPr>
        <w:pStyle w:val="93"/>
        <w:rPr>
          <w:rFonts w:hint="default"/>
          <w:lang w:val="en-US" w:eastAsia="zh-CN"/>
        </w:rPr>
      </w:pPr>
      <w:r>
        <w:rPr>
          <w:rFonts w:hint="eastAsia"/>
          <w:lang w:val="en-US" w:eastAsia="zh-CN"/>
        </w:rPr>
        <w:t xml:space="preserve">Resolution 750, WRC-19 </w:t>
      </w:r>
    </w:p>
    <w:p>
      <w:pPr>
        <w:pStyle w:val="93"/>
        <w:rPr>
          <w:rFonts w:hint="default"/>
          <w:lang w:val="en-US" w:eastAsia="zh-CN"/>
        </w:rPr>
      </w:pPr>
      <w:r>
        <w:rPr>
          <w:rFonts w:hint="eastAsia"/>
          <w:lang w:val="en-US" w:eastAsia="zh-CN"/>
        </w:rPr>
        <w:t>ECC Decision(18)06</w:t>
      </w:r>
    </w:p>
    <w:p>
      <w:pPr>
        <w:pStyle w:val="93"/>
        <w:rPr>
          <w:rFonts w:hint="default"/>
          <w:lang w:val="en-US" w:eastAsia="zh-CN"/>
        </w:rPr>
      </w:pPr>
      <w:r>
        <w:rPr>
          <w:rFonts w:hint="eastAsia"/>
          <w:lang w:val="en-US" w:eastAsia="zh-CN"/>
        </w:rPr>
        <w:t>TS 38.104</w:t>
      </w:r>
    </w:p>
    <w:p>
      <w:pPr>
        <w:pStyle w:val="93"/>
        <w:numPr>
          <w:ilvl w:val="0"/>
          <w:numId w:val="0"/>
        </w:numPr>
        <w:rPr>
          <w:rFonts w:hint="default"/>
          <w:lang w:val="en-US" w:eastAsia="zh-CN"/>
        </w:rPr>
      </w:pPr>
    </w:p>
    <w:sectPr>
      <w:footnotePr>
        <w:numRestart w:val="eachSect"/>
      </w:footnotePr>
      <w:pgSz w:w="11907" w:h="16840"/>
      <w:pgMar w:top="794" w:right="794" w:bottom="993" w:left="794" w:header="680" w:footer="567" w:gutter="0"/>
      <w:pgBorders>
        <w:top w:val="none" w:sz="0" w:space="0"/>
        <w:left w:val="none" w:sz="0" w:space="0"/>
        <w:bottom w:val="none" w:sz="0" w:space="0"/>
        <w:right w:val="none" w:sz="0" w:space="0"/>
      </w:pgBorders>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ZapfDingbats">
    <w:altName w:val="Latha"/>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MS LineDraw">
    <w:altName w:val="微软雅黑"/>
    <w:panose1 w:val="00000000000000000000"/>
    <w:charset w:val="02"/>
    <w:family w:val="modern"/>
    <w:pitch w:val="default"/>
    <w:sig w:usb0="00000000" w:usb1="00000000" w:usb2="00000000" w:usb3="00000000" w:csb0="00040001" w:csb1="00000000"/>
  </w:font>
  <w:font w:name="Batang">
    <w:panose1 w:val="02030600000101010101"/>
    <w:charset w:val="81"/>
    <w:family w:val="roman"/>
    <w:pitch w:val="default"/>
    <w:sig w:usb0="B00002AF" w:usb1="69D77CFB" w:usb2="00000030" w:usb3="00000000" w:csb0="4008009F" w:csb1="DFD70000"/>
  </w:font>
  <w:font w:name="v5.0.0">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2">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7"/>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9B"/>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067A54"/>
    <w:rsid w:val="021B7127"/>
    <w:rsid w:val="0252547F"/>
    <w:rsid w:val="02A5498A"/>
    <w:rsid w:val="02AA263A"/>
    <w:rsid w:val="02C65454"/>
    <w:rsid w:val="031C4CB7"/>
    <w:rsid w:val="039E5F19"/>
    <w:rsid w:val="03AA77A6"/>
    <w:rsid w:val="03AE5ECC"/>
    <w:rsid w:val="03E06120"/>
    <w:rsid w:val="041507FA"/>
    <w:rsid w:val="04763DB6"/>
    <w:rsid w:val="047C7717"/>
    <w:rsid w:val="05963C46"/>
    <w:rsid w:val="06185017"/>
    <w:rsid w:val="07194BEB"/>
    <w:rsid w:val="07A455C6"/>
    <w:rsid w:val="08876483"/>
    <w:rsid w:val="092F347C"/>
    <w:rsid w:val="094D0600"/>
    <w:rsid w:val="09501C01"/>
    <w:rsid w:val="0A2960EF"/>
    <w:rsid w:val="0AC11F2A"/>
    <w:rsid w:val="0B790392"/>
    <w:rsid w:val="0BE16E54"/>
    <w:rsid w:val="0C615DB7"/>
    <w:rsid w:val="0C90604D"/>
    <w:rsid w:val="0CBC21A6"/>
    <w:rsid w:val="0D30069E"/>
    <w:rsid w:val="0D885B5C"/>
    <w:rsid w:val="0D8A1C03"/>
    <w:rsid w:val="0DD84BA6"/>
    <w:rsid w:val="0E763984"/>
    <w:rsid w:val="0E990F3C"/>
    <w:rsid w:val="0EE8621E"/>
    <w:rsid w:val="0EF21CE0"/>
    <w:rsid w:val="0FBB53A3"/>
    <w:rsid w:val="0FC44BB0"/>
    <w:rsid w:val="10561550"/>
    <w:rsid w:val="108C25AB"/>
    <w:rsid w:val="11823C62"/>
    <w:rsid w:val="11CE6ABD"/>
    <w:rsid w:val="12116912"/>
    <w:rsid w:val="12E766F9"/>
    <w:rsid w:val="1354200B"/>
    <w:rsid w:val="13867FC8"/>
    <w:rsid w:val="139C0323"/>
    <w:rsid w:val="15B13CC5"/>
    <w:rsid w:val="15EA0565"/>
    <w:rsid w:val="166C0F69"/>
    <w:rsid w:val="169E6FF0"/>
    <w:rsid w:val="17004FE9"/>
    <w:rsid w:val="176F3E0E"/>
    <w:rsid w:val="18244A12"/>
    <w:rsid w:val="183777B9"/>
    <w:rsid w:val="19553F68"/>
    <w:rsid w:val="19C0717F"/>
    <w:rsid w:val="19E510C0"/>
    <w:rsid w:val="1A670C75"/>
    <w:rsid w:val="1BB41235"/>
    <w:rsid w:val="1BDD4E03"/>
    <w:rsid w:val="1C3E5BEE"/>
    <w:rsid w:val="1CF339B8"/>
    <w:rsid w:val="1D000C57"/>
    <w:rsid w:val="1D9D6581"/>
    <w:rsid w:val="1E4067BA"/>
    <w:rsid w:val="1E9A2C7A"/>
    <w:rsid w:val="1F0870E3"/>
    <w:rsid w:val="1F4443F8"/>
    <w:rsid w:val="1F697F0E"/>
    <w:rsid w:val="1F825716"/>
    <w:rsid w:val="20484B28"/>
    <w:rsid w:val="205270E7"/>
    <w:rsid w:val="20B1597C"/>
    <w:rsid w:val="21107C64"/>
    <w:rsid w:val="21472AD0"/>
    <w:rsid w:val="21514190"/>
    <w:rsid w:val="21C109E9"/>
    <w:rsid w:val="21D67E69"/>
    <w:rsid w:val="225847F9"/>
    <w:rsid w:val="23597F29"/>
    <w:rsid w:val="24541EC9"/>
    <w:rsid w:val="2462145D"/>
    <w:rsid w:val="25BE15D6"/>
    <w:rsid w:val="25C77BF4"/>
    <w:rsid w:val="26472AAA"/>
    <w:rsid w:val="277059BF"/>
    <w:rsid w:val="27BA255A"/>
    <w:rsid w:val="288B0F82"/>
    <w:rsid w:val="28D226F4"/>
    <w:rsid w:val="28D67C7F"/>
    <w:rsid w:val="28E145E8"/>
    <w:rsid w:val="28E63C49"/>
    <w:rsid w:val="298F19D7"/>
    <w:rsid w:val="29C43C65"/>
    <w:rsid w:val="29D25E5C"/>
    <w:rsid w:val="2A351867"/>
    <w:rsid w:val="2C100919"/>
    <w:rsid w:val="2C5C6B38"/>
    <w:rsid w:val="2C936C30"/>
    <w:rsid w:val="2CD613D2"/>
    <w:rsid w:val="2D1050B9"/>
    <w:rsid w:val="2D153347"/>
    <w:rsid w:val="2D295E98"/>
    <w:rsid w:val="2D2A1CF1"/>
    <w:rsid w:val="2DAF0FA0"/>
    <w:rsid w:val="2E0A65A8"/>
    <w:rsid w:val="2EF65C57"/>
    <w:rsid w:val="2F7808DB"/>
    <w:rsid w:val="301A7FA6"/>
    <w:rsid w:val="30885017"/>
    <w:rsid w:val="31C725D8"/>
    <w:rsid w:val="31E70315"/>
    <w:rsid w:val="32352858"/>
    <w:rsid w:val="32D901DE"/>
    <w:rsid w:val="33957597"/>
    <w:rsid w:val="339C289B"/>
    <w:rsid w:val="33AC3E9B"/>
    <w:rsid w:val="346B6A82"/>
    <w:rsid w:val="35CD640B"/>
    <w:rsid w:val="35D772E5"/>
    <w:rsid w:val="35DA3A34"/>
    <w:rsid w:val="377F030D"/>
    <w:rsid w:val="37D466C6"/>
    <w:rsid w:val="381708BF"/>
    <w:rsid w:val="388E4CAC"/>
    <w:rsid w:val="38B038AB"/>
    <w:rsid w:val="39BD0890"/>
    <w:rsid w:val="39EF3888"/>
    <w:rsid w:val="3A67012A"/>
    <w:rsid w:val="3B2A3952"/>
    <w:rsid w:val="3B625907"/>
    <w:rsid w:val="3C5017EE"/>
    <w:rsid w:val="3CAA1627"/>
    <w:rsid w:val="3D3210E1"/>
    <w:rsid w:val="3E2E3C0E"/>
    <w:rsid w:val="3E343CDE"/>
    <w:rsid w:val="3E3602D5"/>
    <w:rsid w:val="3EE436F8"/>
    <w:rsid w:val="40313E38"/>
    <w:rsid w:val="405209B8"/>
    <w:rsid w:val="40D040B2"/>
    <w:rsid w:val="40F21207"/>
    <w:rsid w:val="413977F1"/>
    <w:rsid w:val="414D70C7"/>
    <w:rsid w:val="415522FE"/>
    <w:rsid w:val="415B10EA"/>
    <w:rsid w:val="42126B72"/>
    <w:rsid w:val="422431F5"/>
    <w:rsid w:val="42395B94"/>
    <w:rsid w:val="424B558A"/>
    <w:rsid w:val="426B0E00"/>
    <w:rsid w:val="426B32ED"/>
    <w:rsid w:val="42AE4A66"/>
    <w:rsid w:val="42EE355E"/>
    <w:rsid w:val="43F45753"/>
    <w:rsid w:val="44204329"/>
    <w:rsid w:val="44EE61DD"/>
    <w:rsid w:val="44FD35A1"/>
    <w:rsid w:val="451A2E72"/>
    <w:rsid w:val="457D67B8"/>
    <w:rsid w:val="45D61D1B"/>
    <w:rsid w:val="465B1E95"/>
    <w:rsid w:val="467823B0"/>
    <w:rsid w:val="46ED68DD"/>
    <w:rsid w:val="482B3AD8"/>
    <w:rsid w:val="48866A0F"/>
    <w:rsid w:val="4A015527"/>
    <w:rsid w:val="4A581A46"/>
    <w:rsid w:val="4B112B71"/>
    <w:rsid w:val="4BA52676"/>
    <w:rsid w:val="4C6B12AB"/>
    <w:rsid w:val="4CBE1380"/>
    <w:rsid w:val="4CDC3A47"/>
    <w:rsid w:val="4D6C3C83"/>
    <w:rsid w:val="4D8D0EED"/>
    <w:rsid w:val="4E0B7835"/>
    <w:rsid w:val="4E6374A0"/>
    <w:rsid w:val="4EDC2D82"/>
    <w:rsid w:val="4F484719"/>
    <w:rsid w:val="4FE64F78"/>
    <w:rsid w:val="50101CBA"/>
    <w:rsid w:val="50502B31"/>
    <w:rsid w:val="51B3156D"/>
    <w:rsid w:val="523364F3"/>
    <w:rsid w:val="52452974"/>
    <w:rsid w:val="52A4335A"/>
    <w:rsid w:val="52B64652"/>
    <w:rsid w:val="533C311F"/>
    <w:rsid w:val="5486461F"/>
    <w:rsid w:val="54966634"/>
    <w:rsid w:val="55323A4C"/>
    <w:rsid w:val="569C053A"/>
    <w:rsid w:val="571479C7"/>
    <w:rsid w:val="5843591E"/>
    <w:rsid w:val="58BA16F6"/>
    <w:rsid w:val="59617397"/>
    <w:rsid w:val="59FA3675"/>
    <w:rsid w:val="5A1C2F07"/>
    <w:rsid w:val="5AA73CA5"/>
    <w:rsid w:val="5B472825"/>
    <w:rsid w:val="5B9B36BD"/>
    <w:rsid w:val="5C844C0E"/>
    <w:rsid w:val="5D5A5641"/>
    <w:rsid w:val="5D5E4B33"/>
    <w:rsid w:val="5DD85B0C"/>
    <w:rsid w:val="5E720882"/>
    <w:rsid w:val="5E8C6849"/>
    <w:rsid w:val="5F143187"/>
    <w:rsid w:val="5FBE7D86"/>
    <w:rsid w:val="606D729C"/>
    <w:rsid w:val="60E87FF2"/>
    <w:rsid w:val="6120442E"/>
    <w:rsid w:val="61392C49"/>
    <w:rsid w:val="61551C69"/>
    <w:rsid w:val="61E91DC1"/>
    <w:rsid w:val="61EB6DF6"/>
    <w:rsid w:val="626863C4"/>
    <w:rsid w:val="628B20F9"/>
    <w:rsid w:val="63081DEE"/>
    <w:rsid w:val="63C76C37"/>
    <w:rsid w:val="63D32CF9"/>
    <w:rsid w:val="65990434"/>
    <w:rsid w:val="65ED19B5"/>
    <w:rsid w:val="66593A9F"/>
    <w:rsid w:val="672762CB"/>
    <w:rsid w:val="675D0F52"/>
    <w:rsid w:val="676B0BDC"/>
    <w:rsid w:val="67A84266"/>
    <w:rsid w:val="68A65D99"/>
    <w:rsid w:val="68FE10CA"/>
    <w:rsid w:val="69954D46"/>
    <w:rsid w:val="6A107B9F"/>
    <w:rsid w:val="6A650E24"/>
    <w:rsid w:val="6AB03EB3"/>
    <w:rsid w:val="6BE1413E"/>
    <w:rsid w:val="6C560643"/>
    <w:rsid w:val="6C5C4755"/>
    <w:rsid w:val="6CC47F20"/>
    <w:rsid w:val="6D250CAB"/>
    <w:rsid w:val="6D6A226E"/>
    <w:rsid w:val="6D6E35B0"/>
    <w:rsid w:val="6D9E564E"/>
    <w:rsid w:val="6DD30080"/>
    <w:rsid w:val="6E38757D"/>
    <w:rsid w:val="6E647BAA"/>
    <w:rsid w:val="6E6C55F9"/>
    <w:rsid w:val="6E73050D"/>
    <w:rsid w:val="6ED8743F"/>
    <w:rsid w:val="6EF256F6"/>
    <w:rsid w:val="6F166551"/>
    <w:rsid w:val="6F7A5B80"/>
    <w:rsid w:val="6FB44460"/>
    <w:rsid w:val="6FF81FFB"/>
    <w:rsid w:val="6FFF6212"/>
    <w:rsid w:val="70994298"/>
    <w:rsid w:val="70A779CE"/>
    <w:rsid w:val="71296B01"/>
    <w:rsid w:val="71E56F25"/>
    <w:rsid w:val="729F318F"/>
    <w:rsid w:val="73653AD9"/>
    <w:rsid w:val="7423782A"/>
    <w:rsid w:val="75123154"/>
    <w:rsid w:val="752B36B1"/>
    <w:rsid w:val="75D44E15"/>
    <w:rsid w:val="7616433B"/>
    <w:rsid w:val="77BD025C"/>
    <w:rsid w:val="780B13D6"/>
    <w:rsid w:val="788A16CC"/>
    <w:rsid w:val="79027DCE"/>
    <w:rsid w:val="792A63C1"/>
    <w:rsid w:val="79711E7A"/>
    <w:rsid w:val="7A0C6A43"/>
    <w:rsid w:val="7A4608C1"/>
    <w:rsid w:val="7A671CFD"/>
    <w:rsid w:val="7B882BF8"/>
    <w:rsid w:val="7BD75797"/>
    <w:rsid w:val="7C8034ED"/>
    <w:rsid w:val="7DB63A4C"/>
    <w:rsid w:val="7E2A7A73"/>
    <w:rsid w:val="7E2B52CB"/>
    <w:rsid w:val="7F583661"/>
    <w:rsid w:val="7F8078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5">
    <w:name w:val="Default Paragraph Font"/>
    <w:semiHidden/>
    <w:qFormat/>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6">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pPr>
    <w:rPr>
      <w:rFonts w:ascii="Arial" w:hAnsi="Arial" w:eastAsia="宋体" w:cs="Times New Roman"/>
      <w:lang w:val="en-GB" w:eastAsia="en-US" w:bidi="ar-SA"/>
    </w:rPr>
  </w:style>
  <w:style w:type="paragraph" w:customStyle="1" w:styleId="69">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keepLines/>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90">
    <w:name w:val="_Style 88"/>
    <w:semiHidden/>
    <w:qFormat/>
    <w:uiPriority w:val="99"/>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 w:type="paragraph" w:customStyle="1" w:styleId="129">
    <w:name w:val="Equation"/>
    <w:basedOn w:val="1"/>
    <w:qFormat/>
    <w:uiPriority w:val="0"/>
    <w:pPr>
      <w:tabs>
        <w:tab w:val="left" w:pos="1134"/>
        <w:tab w:val="center" w:pos="4820"/>
        <w:tab w:val="right" w:pos="9639"/>
      </w:tabs>
    </w:pPr>
  </w:style>
  <w:style w:type="paragraph" w:customStyle="1" w:styleId="130">
    <w:name w:val="Equation_Legend"/>
    <w:basedOn w:val="1"/>
    <w:qFormat/>
    <w:uiPriority w:val="0"/>
    <w:pPr>
      <w:tabs>
        <w:tab w:val="right" w:pos="1531"/>
        <w:tab w:val="left" w:pos="1701"/>
      </w:tabs>
      <w:spacing w:before="86"/>
      <w:ind w:left="1701" w:hanging="1701"/>
      <w:textAlignment w:val="auto"/>
    </w:pPr>
    <w:rPr>
      <w:rFonts w:eastAsia="Batang"/>
      <w:lang w:eastAsia="fr-FR"/>
    </w:rPr>
  </w:style>
  <w:style w:type="paragraph" w:styleId="131">
    <w:name w:val="List Paragraph"/>
    <w:basedOn w:val="1"/>
    <w:qFormat/>
    <w:uiPriority w:val="34"/>
    <w:pPr>
      <w:ind w:left="720"/>
    </w:pPr>
  </w:style>
  <w:style w:type="table" w:customStyle="1" w:styleId="132">
    <w:name w:val="TableGrid"/>
    <w:qFormat/>
    <w:uiPriority w:val="0"/>
    <w:pPr>
      <w:spacing w:after="0" w:line="240" w:lineRule="auto"/>
    </w:pPr>
  </w:style>
  <w:style w:type="paragraph" w:customStyle="1" w:styleId="133">
    <w:name w:val="正文：首行缩进2字符"/>
    <w:basedOn w:val="1"/>
    <w:qFormat/>
    <w:uiPriority w:val="0"/>
    <w:pPr>
      <w:spacing w:line="360" w:lineRule="atLeast"/>
      <w:ind w:firstLine="420" w:firstLineChars="200"/>
    </w:pPr>
    <w:rPr>
      <w:rFonts w:cs="宋体"/>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0</TotalTime>
  <ScaleCrop>false</ScaleCrop>
  <LinksUpToDate>false</LinksUpToDate>
  <CharactersWithSpaces>3596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RZ</cp:lastModifiedBy>
  <cp:lastPrinted>2015-01-14T18:53:00Z</cp:lastPrinted>
  <dcterms:modified xsi:type="dcterms:W3CDTF">2020-02-14T12:20:02Z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2052-10.8.2.7027</vt:lpwstr>
  </property>
</Properties>
</file>